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99" w:rsidRPr="00A00B51" w:rsidRDefault="00257D99" w:rsidP="00257D99">
      <w:pPr>
        <w:jc w:val="center"/>
        <w:rPr>
          <w:rFonts w:ascii="Arial Nova" w:hAnsi="Arial Nova" w:cs="Times New Roman"/>
          <w:b/>
          <w:sz w:val="24"/>
          <w:szCs w:val="24"/>
        </w:rPr>
      </w:pPr>
    </w:p>
    <w:p w:rsidR="00257D99" w:rsidRPr="00A00B51" w:rsidRDefault="00257D99" w:rsidP="00257D99">
      <w:pPr>
        <w:shd w:val="clear" w:color="auto" w:fill="DBDBDB" w:themeFill="accent3" w:themeFillTint="66"/>
        <w:jc w:val="center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b/>
          <w:sz w:val="24"/>
          <w:szCs w:val="24"/>
        </w:rPr>
        <w:t xml:space="preserve">TERMO DE JULGAMENTO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5862"/>
      </w:tblGrid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b/>
                <w:sz w:val="24"/>
                <w:szCs w:val="24"/>
              </w:rPr>
            </w:pPr>
            <w:r w:rsidRPr="00A00B51">
              <w:rPr>
                <w:rFonts w:ascii="Arial Nova" w:hAnsi="Arial Nova" w:cs="Times New Roman"/>
                <w:b/>
                <w:sz w:val="24"/>
                <w:szCs w:val="24"/>
              </w:rPr>
              <w:t>FASE:</w:t>
            </w:r>
            <w:r w:rsidRPr="00A00B51">
              <w:rPr>
                <w:rFonts w:ascii="Arial Nova" w:hAnsi="Arial Nov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</w:tcPr>
          <w:p w:rsidR="00257D99" w:rsidRPr="00A00B51" w:rsidRDefault="00B97A95" w:rsidP="008830E9">
            <w:pPr>
              <w:rPr>
                <w:rFonts w:ascii="Arial Nova" w:hAnsi="Arial Nova" w:cs="Times New Roman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>RECURSO ADMINISTRATIVO</w:t>
            </w:r>
            <w:r w:rsidR="00264118">
              <w:rPr>
                <w:rFonts w:ascii="Arial Nova" w:hAnsi="Arial Nova" w:cs="Times New Roman"/>
                <w:sz w:val="24"/>
                <w:szCs w:val="24"/>
              </w:rPr>
              <w:t>.</w:t>
            </w:r>
          </w:p>
        </w:tc>
      </w:tr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b/>
                <w:sz w:val="24"/>
                <w:szCs w:val="24"/>
              </w:rPr>
            </w:pPr>
            <w:r w:rsidRPr="00A00B51">
              <w:rPr>
                <w:rFonts w:ascii="Arial Nova" w:hAnsi="Arial Nova" w:cs="Times New Roman"/>
                <w:b/>
                <w:sz w:val="24"/>
                <w:szCs w:val="24"/>
              </w:rPr>
              <w:t xml:space="preserve">RECORRENTE(S): </w:t>
            </w:r>
          </w:p>
        </w:tc>
        <w:tc>
          <w:tcPr>
            <w:tcW w:w="5862" w:type="dxa"/>
          </w:tcPr>
          <w:p w:rsidR="00257D99" w:rsidRPr="00A00B51" w:rsidRDefault="006A3357" w:rsidP="008830E9">
            <w:pPr>
              <w:widowControl/>
              <w:adjustRightInd w:val="0"/>
              <w:jc w:val="both"/>
              <w:rPr>
                <w:rFonts w:ascii="Arial Nova" w:hAnsi="Arial Nova" w:cs="Times New Roman"/>
                <w:sz w:val="24"/>
                <w:szCs w:val="24"/>
              </w:rPr>
            </w:pPr>
            <w:r>
              <w:rPr>
                <w:rFonts w:ascii="Arial Nova" w:hAnsi="Arial Nova" w:cs="Times New Roman"/>
                <w:sz w:val="24"/>
                <w:szCs w:val="24"/>
              </w:rPr>
              <w:t>CONSTRUVASP CONSTRUÇÕES &amp; SERVIÇOS LTDA</w:t>
            </w:r>
            <w:r w:rsidR="00F80ECA">
              <w:rPr>
                <w:rFonts w:ascii="Arial Nova" w:hAnsi="Arial Nova" w:cs="Times New Roman"/>
                <w:sz w:val="24"/>
                <w:szCs w:val="24"/>
              </w:rPr>
              <w:t>.</w:t>
            </w:r>
          </w:p>
        </w:tc>
      </w:tr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b/>
                <w:sz w:val="24"/>
                <w:szCs w:val="24"/>
              </w:rPr>
            </w:pPr>
            <w:r w:rsidRPr="00A00B51">
              <w:rPr>
                <w:rFonts w:ascii="Arial Nova" w:hAnsi="Arial Nova" w:cs="Times New Roman"/>
                <w:b/>
                <w:sz w:val="24"/>
                <w:szCs w:val="24"/>
              </w:rPr>
              <w:t xml:space="preserve">RECORRIDO(S): </w:t>
            </w:r>
          </w:p>
        </w:tc>
        <w:tc>
          <w:tcPr>
            <w:tcW w:w="5862" w:type="dxa"/>
          </w:tcPr>
          <w:p w:rsidR="00257D99" w:rsidRPr="00A00B51" w:rsidRDefault="00D53B15" w:rsidP="00E83D34">
            <w:pPr>
              <w:jc w:val="both"/>
              <w:rPr>
                <w:rFonts w:ascii="Arial Nova" w:hAnsi="Arial Nova" w:cs="Times New Roman"/>
                <w:sz w:val="24"/>
                <w:szCs w:val="24"/>
              </w:rPr>
            </w:pPr>
            <w:r w:rsidRPr="004E3143">
              <w:rPr>
                <w:rFonts w:ascii="Arial Nova" w:hAnsi="Arial Nova" w:cs="Times New Roman"/>
                <w:sz w:val="24"/>
                <w:szCs w:val="24"/>
              </w:rPr>
              <w:t xml:space="preserve">SECRETARIA DE </w:t>
            </w:r>
            <w:r w:rsidR="00E83D34" w:rsidRPr="004E3143">
              <w:rPr>
                <w:rFonts w:ascii="Arial Nova" w:hAnsi="Arial Nova" w:cs="Times New Roman"/>
                <w:sz w:val="24"/>
                <w:szCs w:val="24"/>
              </w:rPr>
              <w:t>INFRAESTRUTURA, OBRAS PÚBLICAS E RECURSOS HIDRICOS</w:t>
            </w:r>
            <w:r w:rsidR="00B97A95" w:rsidRPr="004E3143">
              <w:rPr>
                <w:rFonts w:ascii="Arial Nova" w:hAnsi="Arial Nova" w:cs="Times New Roman"/>
                <w:sz w:val="24"/>
                <w:szCs w:val="24"/>
              </w:rPr>
              <w:t xml:space="preserve"> </w:t>
            </w:r>
            <w:r w:rsidR="00B97A95">
              <w:rPr>
                <w:rFonts w:ascii="Arial Nova" w:hAnsi="Arial Nova" w:cs="Times New Roman"/>
                <w:sz w:val="24"/>
                <w:szCs w:val="24"/>
              </w:rPr>
              <w:t xml:space="preserve">E </w:t>
            </w:r>
            <w:r w:rsidR="00C373B6">
              <w:rPr>
                <w:rFonts w:ascii="Arial Nova" w:hAnsi="Arial Nova" w:cs="Times New Roman"/>
                <w:sz w:val="24"/>
                <w:szCs w:val="24"/>
              </w:rPr>
              <w:t>AGENTE DE CONTRATAÇÃO</w:t>
            </w:r>
            <w:r w:rsidR="00257D99" w:rsidRPr="00A00B51">
              <w:rPr>
                <w:rFonts w:ascii="Arial Nova" w:hAnsi="Arial Nova" w:cs="Times New Roman"/>
                <w:sz w:val="24"/>
                <w:szCs w:val="24"/>
              </w:rPr>
              <w:t>.</w:t>
            </w:r>
          </w:p>
        </w:tc>
      </w:tr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sz w:val="24"/>
                <w:szCs w:val="24"/>
              </w:rPr>
            </w:pPr>
            <w:r w:rsidRPr="00A00B51">
              <w:rPr>
                <w:rFonts w:ascii="Arial Nova" w:hAnsi="Arial Nova" w:cs="Times New Roman"/>
                <w:b/>
                <w:sz w:val="24"/>
                <w:szCs w:val="24"/>
              </w:rPr>
              <w:t xml:space="preserve">PROCESSO: </w:t>
            </w:r>
          </w:p>
        </w:tc>
        <w:tc>
          <w:tcPr>
            <w:tcW w:w="5862" w:type="dxa"/>
          </w:tcPr>
          <w:p w:rsidR="00257D99" w:rsidRPr="00F0272C" w:rsidRDefault="00F0272C" w:rsidP="00980318">
            <w:pPr>
              <w:rPr>
                <w:rFonts w:ascii="Arial Nova" w:hAnsi="Arial Nova" w:cs="Times New Roman"/>
                <w:sz w:val="24"/>
                <w:szCs w:val="24"/>
              </w:rPr>
            </w:pPr>
            <w:r w:rsidRPr="00F0272C">
              <w:rPr>
                <w:rFonts w:ascii="Arial Nova" w:hAnsi="Arial Nova" w:cs="Times New Roman"/>
                <w:sz w:val="24"/>
                <w:szCs w:val="24"/>
              </w:rPr>
              <w:t xml:space="preserve">CONCORRÊNCIA ELETRÔNICA </w:t>
            </w:r>
            <w:r w:rsidRPr="00D53B15">
              <w:rPr>
                <w:rFonts w:ascii="Arial Nova" w:hAnsi="Arial Nova" w:cs="Times New Roman"/>
                <w:sz w:val="24"/>
                <w:szCs w:val="24"/>
              </w:rPr>
              <w:t xml:space="preserve">Nº </w:t>
            </w:r>
            <w:r w:rsidR="00F80ECA" w:rsidRPr="00F80ECA">
              <w:rPr>
                <w:rFonts w:ascii="Arial Nova" w:hAnsi="Arial Nova" w:cs="Times New Roman"/>
                <w:sz w:val="24"/>
                <w:szCs w:val="24"/>
              </w:rPr>
              <w:t>2025.</w:t>
            </w:r>
            <w:r w:rsidR="00980318">
              <w:rPr>
                <w:rFonts w:ascii="Arial Nova" w:hAnsi="Arial Nova" w:cs="Times New Roman"/>
                <w:sz w:val="24"/>
                <w:szCs w:val="24"/>
              </w:rPr>
              <w:t>09.16.1</w:t>
            </w:r>
            <w:r w:rsidR="000E4F2E" w:rsidRPr="00D53B15">
              <w:rPr>
                <w:rFonts w:ascii="Arial Nova" w:hAnsi="Arial Nova" w:cs="Times New Roman"/>
                <w:sz w:val="24"/>
                <w:szCs w:val="24"/>
              </w:rPr>
              <w:t>.</w:t>
            </w:r>
          </w:p>
        </w:tc>
      </w:tr>
      <w:tr w:rsidR="00257D99" w:rsidRPr="00A00B51" w:rsidTr="008830E9">
        <w:tc>
          <w:tcPr>
            <w:tcW w:w="2636" w:type="dxa"/>
          </w:tcPr>
          <w:p w:rsidR="00257D99" w:rsidRPr="00A00B51" w:rsidRDefault="00257D99" w:rsidP="008830E9">
            <w:pPr>
              <w:rPr>
                <w:rFonts w:ascii="Arial Nova" w:hAnsi="Arial Nova" w:cs="Times New Roman"/>
                <w:b/>
                <w:sz w:val="24"/>
                <w:szCs w:val="24"/>
              </w:rPr>
            </w:pPr>
            <w:r w:rsidRPr="00A00B51">
              <w:rPr>
                <w:rFonts w:ascii="Arial Nova" w:hAnsi="Arial Nova" w:cs="Times New Roman"/>
                <w:b/>
                <w:sz w:val="24"/>
                <w:szCs w:val="24"/>
              </w:rPr>
              <w:t>OBJETO:</w:t>
            </w:r>
          </w:p>
          <w:p w:rsidR="00257D99" w:rsidRPr="00A00B51" w:rsidRDefault="00257D99" w:rsidP="008830E9">
            <w:pPr>
              <w:rPr>
                <w:rFonts w:ascii="Arial Nova" w:hAnsi="Arial Nova" w:cs="Times New Roman"/>
                <w:sz w:val="24"/>
                <w:szCs w:val="24"/>
              </w:rPr>
            </w:pPr>
          </w:p>
        </w:tc>
        <w:tc>
          <w:tcPr>
            <w:tcW w:w="5862" w:type="dxa"/>
          </w:tcPr>
          <w:p w:rsidR="00D53B15" w:rsidRDefault="006A3357" w:rsidP="008830E9">
            <w:pPr>
              <w:jc w:val="both"/>
              <w:rPr>
                <w:rFonts w:ascii="Arial Nova" w:hAnsi="Arial Nova" w:cs="Times New Roman"/>
                <w:bCs/>
                <w:sz w:val="24"/>
                <w:szCs w:val="24"/>
              </w:rPr>
            </w:pPr>
            <w:r w:rsidRPr="006A3357">
              <w:rPr>
                <w:rFonts w:ascii="Arial Nova" w:hAnsi="Arial Nova" w:cs="Times New Roman"/>
                <w:bCs/>
                <w:sz w:val="24"/>
                <w:szCs w:val="24"/>
              </w:rPr>
              <w:t>REGISTRO DE PREÇOS VISANDO FUTURA E EVENTUAL CONTRATAÇÃO DE EMPRESA PRÉ-QUALIFICADA PARA EXECUÇÃO DE PAVIMENTAÇÃO ASFÁLTICA (CAPEAMENTO E RECUPERAÇÃO – TAPA BURACO) PARA MELHORAMENTO DA CAMADA DE ROLAMENTO EM VIAS DO MUNICÍPIO DE HORIZONTE/CE</w:t>
            </w:r>
            <w:r>
              <w:rPr>
                <w:rFonts w:ascii="Arial Nova" w:hAnsi="Arial Nova" w:cs="Times New Roman"/>
                <w:bCs/>
                <w:sz w:val="24"/>
                <w:szCs w:val="24"/>
              </w:rPr>
              <w:t>.</w:t>
            </w:r>
          </w:p>
          <w:p w:rsidR="006A3357" w:rsidRPr="00A00B51" w:rsidRDefault="006A3357" w:rsidP="008830E9">
            <w:pPr>
              <w:jc w:val="both"/>
              <w:rPr>
                <w:rFonts w:ascii="Arial Nova" w:hAnsi="Arial Nova" w:cs="Times New Roman"/>
                <w:sz w:val="24"/>
                <w:szCs w:val="24"/>
              </w:rPr>
            </w:pPr>
          </w:p>
        </w:tc>
      </w:tr>
    </w:tbl>
    <w:p w:rsidR="00257D99" w:rsidRPr="00A00B51" w:rsidRDefault="00257D99" w:rsidP="00257D99">
      <w:pPr>
        <w:shd w:val="clear" w:color="auto" w:fill="DBDBDB" w:themeFill="accent3" w:themeFillTint="66"/>
        <w:spacing w:after="320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b/>
          <w:sz w:val="24"/>
          <w:szCs w:val="24"/>
        </w:rPr>
        <w:t>01. PRELIMINARES</w:t>
      </w:r>
      <w:bookmarkStart w:id="0" w:name="_GoBack"/>
      <w:bookmarkEnd w:id="0"/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Trata-se de recurso(s) administrativo(s) interpost</w:t>
      </w:r>
      <w:r w:rsidR="0029518F">
        <w:rPr>
          <w:rFonts w:ascii="Arial Nova" w:hAnsi="Arial Nova" w:cs="Times New Roman"/>
          <w:sz w:val="24"/>
          <w:szCs w:val="24"/>
        </w:rPr>
        <w:t>o</w:t>
      </w:r>
      <w:r w:rsidRPr="00A00B51">
        <w:rPr>
          <w:rFonts w:ascii="Arial Nova" w:hAnsi="Arial Nova" w:cs="Times New Roman"/>
          <w:sz w:val="24"/>
          <w:szCs w:val="24"/>
        </w:rPr>
        <w:t xml:space="preserve">(s) pela(s) empresa(s) acima referenciada(s), contra decisão de liberatória da </w:t>
      </w:r>
      <w:r w:rsidR="00C373B6">
        <w:rPr>
          <w:rFonts w:ascii="Arial Nova" w:hAnsi="Arial Nova" w:cs="Times New Roman"/>
          <w:sz w:val="24"/>
          <w:szCs w:val="24"/>
        </w:rPr>
        <w:t>AGENTE DE CONTRATAÇÃO</w:t>
      </w:r>
      <w:r w:rsidRPr="00A00B51">
        <w:rPr>
          <w:rFonts w:ascii="Arial Nova" w:hAnsi="Arial Nova" w:cs="Times New Roman"/>
          <w:sz w:val="24"/>
          <w:szCs w:val="24"/>
        </w:rPr>
        <w:t xml:space="preserve"> da Prefeitura Municipal </w:t>
      </w:r>
      <w:r w:rsidR="00B97A95">
        <w:rPr>
          <w:rFonts w:ascii="Arial Nova" w:hAnsi="Arial Nova" w:cs="Times New Roman"/>
          <w:sz w:val="24"/>
          <w:szCs w:val="24"/>
        </w:rPr>
        <w:t>d</w:t>
      </w:r>
      <w:r w:rsidRPr="00A00B51">
        <w:rPr>
          <w:rFonts w:ascii="Arial Nova" w:hAnsi="Arial Nova" w:cs="Times New Roman"/>
          <w:sz w:val="24"/>
          <w:szCs w:val="24"/>
        </w:rPr>
        <w:t xml:space="preserve">e Horizonte. 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bCs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Recorrente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apesentou</w:t>
      </w:r>
      <w:r w:rsidR="00F80ECA">
        <w:rPr>
          <w:rFonts w:ascii="Arial Nova" w:hAnsi="Arial Nova" w:cs="Times New Roman"/>
          <w:sz w:val="24"/>
          <w:szCs w:val="24"/>
        </w:rPr>
        <w:t>(aram)</w:t>
      </w:r>
      <w:r w:rsidRPr="00A00B51">
        <w:rPr>
          <w:rFonts w:ascii="Arial Nova" w:hAnsi="Arial Nova" w:cs="Times New Roman"/>
          <w:sz w:val="24"/>
          <w:szCs w:val="24"/>
        </w:rPr>
        <w:t xml:space="preserve"> tempestivamente 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peça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</w:t>
      </w:r>
      <w:proofErr w:type="spellStart"/>
      <w:r w:rsidR="00F80ECA">
        <w:rPr>
          <w:rFonts w:ascii="Arial Nova" w:hAnsi="Arial Nova" w:cs="Times New Roman"/>
          <w:sz w:val="24"/>
          <w:szCs w:val="24"/>
        </w:rPr>
        <w:t>cabí</w:t>
      </w:r>
      <w:proofErr w:type="spellEnd"/>
      <w:r w:rsidR="00F80ECA">
        <w:rPr>
          <w:rFonts w:ascii="Arial Nova" w:hAnsi="Arial Nova" w:cs="Times New Roman"/>
          <w:sz w:val="24"/>
          <w:szCs w:val="24"/>
        </w:rPr>
        <w:t>(</w:t>
      </w:r>
      <w:proofErr w:type="spellStart"/>
      <w:r w:rsidR="00F80ECA">
        <w:rPr>
          <w:rFonts w:ascii="Arial Nova" w:hAnsi="Arial Nova" w:cs="Times New Roman"/>
          <w:sz w:val="24"/>
          <w:szCs w:val="24"/>
        </w:rPr>
        <w:t>vel</w:t>
      </w:r>
      <w:proofErr w:type="spellEnd"/>
      <w:r w:rsidR="00F80ECA">
        <w:rPr>
          <w:rFonts w:ascii="Arial Nova" w:hAnsi="Arial Nova" w:cs="Times New Roman"/>
          <w:sz w:val="24"/>
          <w:szCs w:val="24"/>
        </w:rPr>
        <w:t>)(</w:t>
      </w:r>
      <w:proofErr w:type="spellStart"/>
      <w:r w:rsidR="00F80ECA">
        <w:rPr>
          <w:rFonts w:ascii="Arial Nova" w:hAnsi="Arial Nova" w:cs="Times New Roman"/>
          <w:sz w:val="24"/>
          <w:szCs w:val="24"/>
        </w:rPr>
        <w:t>veis</w:t>
      </w:r>
      <w:proofErr w:type="spellEnd"/>
      <w:r w:rsidR="00F80ECA">
        <w:rPr>
          <w:rFonts w:ascii="Arial Nova" w:hAnsi="Arial Nova" w:cs="Times New Roman"/>
          <w:sz w:val="24"/>
          <w:szCs w:val="24"/>
        </w:rPr>
        <w:t>)</w:t>
      </w:r>
      <w:r w:rsidRPr="00A00B51">
        <w:rPr>
          <w:rFonts w:ascii="Arial Nova" w:hAnsi="Arial Nova" w:cs="Times New Roman"/>
          <w:sz w:val="24"/>
          <w:szCs w:val="24"/>
        </w:rPr>
        <w:t xml:space="preserve"> correspondente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a demanda própria de cada uma.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F80ECA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A(s) petição(</w:t>
      </w:r>
      <w:proofErr w:type="spellStart"/>
      <w:r>
        <w:rPr>
          <w:rFonts w:ascii="Arial Nova" w:hAnsi="Arial Nova" w:cs="Times New Roman"/>
          <w:sz w:val="24"/>
          <w:szCs w:val="24"/>
        </w:rPr>
        <w:t>ções</w:t>
      </w:r>
      <w:proofErr w:type="spellEnd"/>
      <w:r>
        <w:rPr>
          <w:rFonts w:ascii="Arial Nova" w:hAnsi="Arial Nova" w:cs="Times New Roman"/>
          <w:sz w:val="24"/>
          <w:szCs w:val="24"/>
        </w:rPr>
        <w:t>)</w:t>
      </w:r>
      <w:r w:rsidR="00257D99" w:rsidRPr="00A00B51">
        <w:rPr>
          <w:rFonts w:ascii="Arial Nova" w:hAnsi="Arial Nova" w:cs="Times New Roman"/>
          <w:sz w:val="24"/>
          <w:szCs w:val="24"/>
        </w:rPr>
        <w:t xml:space="preserve"> se encontra</w:t>
      </w:r>
      <w:r>
        <w:rPr>
          <w:rFonts w:ascii="Arial Nova" w:hAnsi="Arial Nova" w:cs="Times New Roman"/>
          <w:sz w:val="24"/>
          <w:szCs w:val="24"/>
        </w:rPr>
        <w:t>(m) fundamentada(s)</w:t>
      </w:r>
      <w:r w:rsidR="00257D99" w:rsidRPr="00A00B51">
        <w:rPr>
          <w:rFonts w:ascii="Arial Nova" w:hAnsi="Arial Nova" w:cs="Times New Roman"/>
          <w:sz w:val="24"/>
          <w:szCs w:val="24"/>
        </w:rPr>
        <w:t>, apresentando, ademais, as formalidades mínimas exigidas no edital licitatório, contendo, ainda, o pedido pelo qual se pleiteia a demanda. Desta feita, verifica-se a regularidade no tocante ao cabimento do presente recurso, haja vista a faculdade legal e a seguinte previsão constante do texto editalício, mais precisamente no item 9.1 e ss., nesses termos:</w:t>
      </w:r>
    </w:p>
    <w:p w:rsidR="00257D99" w:rsidRPr="00A00B51" w:rsidRDefault="00257D99" w:rsidP="00257D99">
      <w:pPr>
        <w:pStyle w:val="Corpodetexto"/>
        <w:tabs>
          <w:tab w:val="left" w:pos="-1701"/>
          <w:tab w:val="left" w:pos="809"/>
        </w:tabs>
        <w:ind w:left="2268" w:right="14"/>
        <w:jc w:val="both"/>
        <w:rPr>
          <w:rFonts w:ascii="Arial Nova" w:hAnsi="Arial Nova" w:cs="Times New Roman"/>
        </w:rPr>
      </w:pPr>
    </w:p>
    <w:p w:rsidR="00257D99" w:rsidRPr="00D53B15" w:rsidRDefault="00257D99" w:rsidP="00257D99">
      <w:pPr>
        <w:ind w:left="2268"/>
        <w:jc w:val="both"/>
        <w:rPr>
          <w:rFonts w:ascii="Arial Nova" w:hAnsi="Arial Nova" w:cs="Times New Roman"/>
          <w:sz w:val="21"/>
          <w:szCs w:val="21"/>
        </w:rPr>
      </w:pPr>
      <w:r w:rsidRPr="00D53B15">
        <w:rPr>
          <w:rFonts w:ascii="Arial Nova" w:hAnsi="Arial Nova" w:cs="Times New Roman"/>
          <w:sz w:val="21"/>
          <w:szCs w:val="21"/>
        </w:rPr>
        <w:t>9.11.</w:t>
      </w:r>
      <w:r w:rsidRPr="00D53B15">
        <w:rPr>
          <w:rFonts w:ascii="Arial Nova" w:hAnsi="Arial Nova" w:cs="Times New Roman"/>
          <w:sz w:val="21"/>
          <w:szCs w:val="21"/>
        </w:rPr>
        <w:tab/>
        <w:t>DA FASE DE RECURSOS:</w:t>
      </w:r>
    </w:p>
    <w:p w:rsidR="00257D99" w:rsidRPr="00D53B15" w:rsidRDefault="00257D99" w:rsidP="00257D99">
      <w:pPr>
        <w:ind w:left="2268"/>
        <w:jc w:val="both"/>
        <w:rPr>
          <w:rFonts w:ascii="Arial Nova" w:hAnsi="Arial Nova" w:cs="Times New Roman"/>
          <w:sz w:val="21"/>
          <w:szCs w:val="21"/>
        </w:rPr>
      </w:pPr>
      <w:r w:rsidRPr="00D53B15">
        <w:rPr>
          <w:rFonts w:ascii="Arial Nova" w:hAnsi="Arial Nova" w:cs="Times New Roman"/>
          <w:sz w:val="21"/>
          <w:szCs w:val="21"/>
        </w:rPr>
        <w:t>[...]</w:t>
      </w:r>
    </w:p>
    <w:p w:rsidR="00257D99" w:rsidRPr="00D53B15" w:rsidRDefault="00257D99" w:rsidP="00257D99">
      <w:pPr>
        <w:ind w:left="2268"/>
        <w:jc w:val="both"/>
        <w:rPr>
          <w:rFonts w:ascii="Arial Nova" w:hAnsi="Arial Nova" w:cs="Times New Roman"/>
          <w:sz w:val="21"/>
          <w:szCs w:val="21"/>
        </w:rPr>
      </w:pPr>
      <w:r w:rsidRPr="00D53B15">
        <w:rPr>
          <w:rFonts w:ascii="Arial Nova" w:hAnsi="Arial Nova" w:cs="Times New Roman"/>
          <w:sz w:val="21"/>
          <w:szCs w:val="21"/>
        </w:rPr>
        <w:t>9.11.8. A recorrente a qual tiver intencionado em momento oportuno terá o prazo de até 03 (três) dias úteis para apresentar os memoriais contendo as razões recursais, obrigatoriamente por meio de registro no sistema e, havendo imagens, ilustrações e demais informações que eventualmente não suportadas pela plataforma, também deverão ser enviados via e-mail constante do quadro resumo deste edital.</w:t>
      </w:r>
    </w:p>
    <w:p w:rsidR="00257D99" w:rsidRPr="00A00B51" w:rsidRDefault="00257D99" w:rsidP="00257D99">
      <w:pPr>
        <w:ind w:firstLine="1701"/>
        <w:jc w:val="both"/>
        <w:rPr>
          <w:rFonts w:ascii="Arial Nova" w:hAnsi="Arial Nova" w:cs="Times New Roman"/>
          <w:i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Ademais, tal previsão encontra guarida no texto legal, em especial, no artigo 165, inciso I, alíneas “a” e “b” da Lei Federal nº 14.133/21 (Nova Lei de Licitações), sendo suprido o pressuposto de </w:t>
      </w:r>
      <w:r w:rsidRPr="00A00B51">
        <w:rPr>
          <w:rFonts w:ascii="Arial Nova" w:hAnsi="Arial Nova" w:cs="Times New Roman"/>
          <w:b/>
          <w:bCs/>
          <w:sz w:val="24"/>
          <w:szCs w:val="24"/>
        </w:rPr>
        <w:t xml:space="preserve">cabimento. </w:t>
      </w:r>
    </w:p>
    <w:p w:rsidR="00257D99" w:rsidRPr="00A00B51" w:rsidRDefault="00257D99" w:rsidP="00257D99">
      <w:pPr>
        <w:ind w:firstLine="1701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ab/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No tocante a </w:t>
      </w:r>
      <w:r w:rsidRPr="00A00B51">
        <w:rPr>
          <w:rFonts w:ascii="Arial Nova" w:hAnsi="Arial Nova" w:cs="Times New Roman"/>
          <w:b/>
          <w:bCs/>
          <w:sz w:val="24"/>
          <w:szCs w:val="24"/>
        </w:rPr>
        <w:t>tempestividade</w:t>
      </w:r>
      <w:r w:rsidRPr="00A00B51">
        <w:rPr>
          <w:rFonts w:ascii="Arial Nova" w:hAnsi="Arial Nova" w:cs="Times New Roman"/>
          <w:sz w:val="24"/>
          <w:szCs w:val="24"/>
        </w:rPr>
        <w:t xml:space="preserve"> do recurso administrativo, a este deu-se, inicialmente, pela intenção manifestada em sessão eletrônica, conforme </w:t>
      </w:r>
      <w:r w:rsidRPr="00A00B51">
        <w:rPr>
          <w:rFonts w:ascii="Arial Nova" w:hAnsi="Arial Nova" w:cs="Times New Roman"/>
          <w:sz w:val="24"/>
          <w:szCs w:val="24"/>
        </w:rPr>
        <w:lastRenderedPageBreak/>
        <w:t xml:space="preserve">consta da ata da sessão e julgamento, realizada via plataforma eletrônica do </w:t>
      </w:r>
      <w:r w:rsidR="00597FE8">
        <w:rPr>
          <w:rFonts w:ascii="Arial Nova" w:hAnsi="Arial Nova" w:cs="Times New Roman"/>
          <w:sz w:val="24"/>
          <w:szCs w:val="24"/>
        </w:rPr>
        <w:t>Compras.gov.br</w:t>
      </w:r>
      <w:r w:rsidRPr="00A00B51">
        <w:rPr>
          <w:rFonts w:ascii="Arial Nova" w:hAnsi="Arial Nova" w:cs="Times New Roman"/>
          <w:b/>
          <w:sz w:val="24"/>
          <w:szCs w:val="24"/>
        </w:rPr>
        <w:t xml:space="preserve">. 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O prazo para intenção de recursos foi fixado em </w:t>
      </w:r>
      <w:r w:rsidR="00D53B15">
        <w:rPr>
          <w:rFonts w:ascii="Arial Nova" w:hAnsi="Arial Nova" w:cs="Times New Roman"/>
          <w:b/>
          <w:sz w:val="24"/>
          <w:szCs w:val="24"/>
        </w:rPr>
        <w:t>10</w:t>
      </w:r>
      <w:r w:rsidRPr="00A00B51">
        <w:rPr>
          <w:rFonts w:ascii="Arial Nova" w:hAnsi="Arial Nova" w:cs="Times New Roman"/>
          <w:b/>
          <w:sz w:val="24"/>
          <w:szCs w:val="24"/>
        </w:rPr>
        <w:t xml:space="preserve"> (</w:t>
      </w:r>
      <w:r w:rsidR="00D53B15">
        <w:rPr>
          <w:rFonts w:ascii="Arial Nova" w:hAnsi="Arial Nova" w:cs="Times New Roman"/>
          <w:b/>
          <w:sz w:val="24"/>
          <w:szCs w:val="24"/>
        </w:rPr>
        <w:t>dez</w:t>
      </w:r>
      <w:r w:rsidRPr="00A00B51">
        <w:rPr>
          <w:rFonts w:ascii="Arial Nova" w:hAnsi="Arial Nova" w:cs="Times New Roman"/>
          <w:b/>
          <w:sz w:val="24"/>
          <w:szCs w:val="24"/>
        </w:rPr>
        <w:t xml:space="preserve">) minutos, </w:t>
      </w:r>
      <w:r w:rsidRPr="00A00B51">
        <w:rPr>
          <w:rFonts w:ascii="Arial Nova" w:hAnsi="Arial Nova" w:cs="Times New Roman"/>
          <w:sz w:val="24"/>
          <w:szCs w:val="24"/>
        </w:rPr>
        <w:t>tendo havido manifestação pela parte recorrente, ainda dentro deste limite temporal</w:t>
      </w:r>
      <w:r w:rsidRPr="00A00B51">
        <w:rPr>
          <w:rFonts w:ascii="Arial Nova" w:hAnsi="Arial Nova" w:cs="Times New Roman"/>
          <w:b/>
          <w:sz w:val="24"/>
          <w:szCs w:val="24"/>
        </w:rPr>
        <w:t>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Fixou-se a apresentação dos memorais recursais no prazo de até 03 (três) dias úteis da manifestação, a contar do primeiro dia útil. Conforme se observa, a(s) empresa(s) recorrente(s) apresentaram sua(s) razões no prazo estipulado</w:t>
      </w:r>
      <w:r w:rsidR="00F27B87">
        <w:rPr>
          <w:rFonts w:ascii="Arial Nova" w:hAnsi="Arial Nova" w:cs="Times New Roman"/>
          <w:sz w:val="24"/>
          <w:szCs w:val="24"/>
        </w:rPr>
        <w:t>.</w:t>
      </w:r>
    </w:p>
    <w:p w:rsidR="00257D99" w:rsidRPr="00A00B51" w:rsidRDefault="00257D99" w:rsidP="00257D99">
      <w:pPr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Sequentemente, abriu-se o prazo para apresentação das contrarrazões a contar do término do prazo para apresentação dos memoriais.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Já quanto ao prazo para as contrarrazões programou-se o prazo de mais 03 (três) dias úteis, </w:t>
      </w:r>
      <w:r w:rsidRPr="00D53B15">
        <w:rPr>
          <w:rFonts w:ascii="Arial Nova" w:hAnsi="Arial Nova" w:cs="Times New Roman"/>
          <w:b/>
          <w:bCs/>
          <w:sz w:val="24"/>
          <w:szCs w:val="24"/>
        </w:rPr>
        <w:t xml:space="preserve">não tendo </w:t>
      </w:r>
      <w:r w:rsidR="00F80ECA">
        <w:rPr>
          <w:rFonts w:ascii="Arial Nova" w:hAnsi="Arial Nova" w:cs="Times New Roman"/>
          <w:b/>
          <w:bCs/>
          <w:sz w:val="24"/>
          <w:szCs w:val="24"/>
        </w:rPr>
        <w:t xml:space="preserve">havido </w:t>
      </w:r>
      <w:r w:rsidRPr="00D53B15">
        <w:rPr>
          <w:rFonts w:ascii="Arial Nova" w:hAnsi="Arial Nova" w:cs="Times New Roman"/>
          <w:b/>
          <w:bCs/>
          <w:sz w:val="24"/>
          <w:szCs w:val="24"/>
        </w:rPr>
        <w:t>qualquer manifestação nesse sentido.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À vista disso, entende-se que a tempestividade foi cumprida, pela manifestação ordinária em afinco as exigências requeridas, cumprindo, portanto, ao pressuposto afeito a </w:t>
      </w:r>
      <w:r w:rsidRPr="00A00B51">
        <w:rPr>
          <w:rFonts w:ascii="Arial Nova" w:hAnsi="Arial Nova" w:cs="Times New Roman"/>
          <w:b/>
          <w:bCs/>
          <w:sz w:val="24"/>
          <w:szCs w:val="24"/>
        </w:rPr>
        <w:t>tempestividade.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shd w:val="clear" w:color="auto" w:fill="DBDBDB" w:themeFill="accent3" w:themeFillTint="66"/>
        <w:spacing w:after="320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b/>
          <w:sz w:val="24"/>
          <w:szCs w:val="24"/>
        </w:rPr>
        <w:t>02. DOS FATOS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O presente certame licitatório foi devidamente conduzido pelo(a) </w:t>
      </w:r>
      <w:r w:rsidR="00D53B15">
        <w:rPr>
          <w:rFonts w:ascii="Arial Nova" w:hAnsi="Arial Nova" w:cs="Times New Roman"/>
          <w:sz w:val="24"/>
          <w:szCs w:val="24"/>
        </w:rPr>
        <w:t>Agente de Contratação</w:t>
      </w:r>
      <w:r w:rsidR="00D53B15" w:rsidRPr="00A00B51">
        <w:rPr>
          <w:rFonts w:ascii="Arial Nova" w:hAnsi="Arial Nova" w:cs="Times New Roman"/>
          <w:sz w:val="24"/>
          <w:szCs w:val="24"/>
        </w:rPr>
        <w:t xml:space="preserve"> </w:t>
      </w:r>
      <w:r w:rsidRPr="00A00B51">
        <w:rPr>
          <w:rFonts w:ascii="Arial Nova" w:hAnsi="Arial Nova" w:cs="Times New Roman"/>
          <w:sz w:val="24"/>
          <w:szCs w:val="24"/>
        </w:rPr>
        <w:t>do Município designado</w:t>
      </w:r>
      <w:r w:rsidR="00597FE8">
        <w:rPr>
          <w:rFonts w:ascii="Arial Nova" w:hAnsi="Arial Nova" w:cs="Times New Roman"/>
          <w:sz w:val="24"/>
          <w:szCs w:val="24"/>
        </w:rPr>
        <w:t>(a)</w:t>
      </w:r>
      <w:r w:rsidRPr="00A00B51">
        <w:rPr>
          <w:rFonts w:ascii="Arial Nova" w:hAnsi="Arial Nova" w:cs="Times New Roman"/>
          <w:sz w:val="24"/>
          <w:szCs w:val="24"/>
        </w:rPr>
        <w:t xml:space="preserve"> ao mencionado processo</w:t>
      </w:r>
      <w:r w:rsidRPr="00A00B51">
        <w:rPr>
          <w:rFonts w:ascii="Arial Nova" w:hAnsi="Arial Nova" w:cs="Times New Roman"/>
          <w:b/>
          <w:sz w:val="24"/>
          <w:szCs w:val="24"/>
        </w:rPr>
        <w:t>.</w:t>
      </w:r>
      <w:r w:rsidRPr="00A00B51">
        <w:rPr>
          <w:rFonts w:ascii="Arial Nova" w:hAnsi="Arial Nova" w:cs="Times New Roman"/>
          <w:sz w:val="24"/>
          <w:szCs w:val="24"/>
        </w:rPr>
        <w:t xml:space="preserve"> Todos os atos foram praticados via plataforma virtual e eletrônica de comunicação (sistema Compras</w:t>
      </w:r>
      <w:r w:rsidR="003411A2">
        <w:rPr>
          <w:rFonts w:ascii="Arial Nova" w:hAnsi="Arial Nova" w:cs="Times New Roman"/>
          <w:sz w:val="24"/>
          <w:szCs w:val="24"/>
        </w:rPr>
        <w:t>.gov.br</w:t>
      </w:r>
      <w:r w:rsidRPr="00A00B51">
        <w:rPr>
          <w:rFonts w:ascii="Arial Nova" w:hAnsi="Arial Nova" w:cs="Times New Roman"/>
          <w:sz w:val="24"/>
          <w:szCs w:val="24"/>
        </w:rPr>
        <w:t>), conforme rege o edital e nos modos consignados na ata do pleito, anexa ao procedimento.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Compareceram diversos participantes ao procedimento, o qual deu-se início por meio da classificação de propostas, abertura da fase de lances e análise dos documentos de habilitação e resultado final, nos termos consignados em edital e a seguir detalhados.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6A3357" w:rsidRDefault="006A3357" w:rsidP="006A3357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6A3357">
        <w:rPr>
          <w:rFonts w:ascii="Arial Nova" w:hAnsi="Arial Nova" w:cs="Times New Roman"/>
          <w:sz w:val="24"/>
          <w:szCs w:val="24"/>
        </w:rPr>
        <w:t xml:space="preserve">A empresa </w:t>
      </w:r>
      <w:r w:rsidRPr="00202190">
        <w:rPr>
          <w:rFonts w:ascii="Arial Nova" w:hAnsi="Arial Nova" w:cs="Times New Roman"/>
          <w:b/>
          <w:sz w:val="24"/>
          <w:szCs w:val="24"/>
        </w:rPr>
        <w:t>CONSTRUVASP CONSTRUÇÕES &amp; SERVIÇOS LTDA</w:t>
      </w:r>
      <w:r w:rsidRPr="006A3357">
        <w:rPr>
          <w:rFonts w:ascii="Arial Nova" w:hAnsi="Arial Nova" w:cs="Times New Roman"/>
          <w:sz w:val="24"/>
          <w:szCs w:val="24"/>
        </w:rPr>
        <w:t xml:space="preserve"> foi inabilitada pela </w:t>
      </w:r>
      <w:r>
        <w:rPr>
          <w:rFonts w:ascii="Arial Nova" w:hAnsi="Arial Nova" w:cs="Times New Roman"/>
          <w:sz w:val="24"/>
          <w:szCs w:val="24"/>
        </w:rPr>
        <w:t xml:space="preserve">Agente de </w:t>
      </w:r>
      <w:r w:rsidRPr="006A3357">
        <w:rPr>
          <w:rFonts w:ascii="Arial Nova" w:hAnsi="Arial Nova" w:cs="Times New Roman"/>
          <w:sz w:val="24"/>
          <w:szCs w:val="24"/>
        </w:rPr>
        <w:t xml:space="preserve">Contratação do Município de Horizonte/CE. A justificativa para a inabilitação baseou-se na alegação de que a empresa apresentou um Certificado de Pré-qualificação desatualizado, decorrente de uma certidão de falência vencida na data de abertura do certame, violando o item 8.1 do edital e o Anexo II do Projeto Básico, que exige a manutenção e atualização da documentação atrelada ao procedimento de pré-qualificação. </w:t>
      </w:r>
    </w:p>
    <w:p w:rsidR="006A3357" w:rsidRDefault="006A3357" w:rsidP="006A3357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6A3357" w:rsidRPr="006A3357" w:rsidRDefault="006A3357" w:rsidP="006A3357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6A3357">
        <w:rPr>
          <w:rFonts w:ascii="Arial Nova" w:hAnsi="Arial Nova" w:cs="Times New Roman"/>
          <w:sz w:val="24"/>
          <w:szCs w:val="24"/>
        </w:rPr>
        <w:t xml:space="preserve">Em contrapartida, a licitante interpôs Recurso Administrativo, argumentando que, embora o processo de pré-qualificação seja um procedimento autônomo e de validade permanente que exige atualização contínua, a certidão de falência apresentada estava, de fato, válida na data de abertura da licitação e dentro dos prazos estabelecidos para sua comprovação, </w:t>
      </w:r>
      <w:r w:rsidRPr="006A3357">
        <w:rPr>
          <w:rFonts w:ascii="Arial Nova" w:hAnsi="Arial Nova" w:cs="Times New Roman"/>
          <w:sz w:val="24"/>
          <w:szCs w:val="24"/>
        </w:rPr>
        <w:lastRenderedPageBreak/>
        <w:t xml:space="preserve">questionando a interpretação da Comissão sobre </w:t>
      </w:r>
      <w:proofErr w:type="gramStart"/>
      <w:r w:rsidRPr="006A3357">
        <w:rPr>
          <w:rFonts w:ascii="Arial Nova" w:hAnsi="Arial Nova" w:cs="Times New Roman"/>
          <w:sz w:val="24"/>
          <w:szCs w:val="24"/>
        </w:rPr>
        <w:t>os marcos</w:t>
      </w:r>
      <w:proofErr w:type="gramEnd"/>
      <w:r w:rsidRPr="006A3357">
        <w:rPr>
          <w:rFonts w:ascii="Arial Nova" w:hAnsi="Arial Nova" w:cs="Times New Roman"/>
          <w:sz w:val="24"/>
          <w:szCs w:val="24"/>
        </w:rPr>
        <w:t xml:space="preserve"> temporais editalícios e a conformidade de sua documentação.</w:t>
      </w:r>
    </w:p>
    <w:p w:rsidR="006A3357" w:rsidRPr="006A3357" w:rsidRDefault="006A3357" w:rsidP="006A3357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4961DB" w:rsidRPr="00A00B51" w:rsidRDefault="00911B3F" w:rsidP="00911B3F">
      <w:pPr>
        <w:tabs>
          <w:tab w:val="left" w:pos="5812"/>
        </w:tabs>
        <w:ind w:firstLine="1134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 xml:space="preserve">Não tivemos a apresentação das contrarrazões. </w:t>
      </w:r>
    </w:p>
    <w:p w:rsidR="00257D99" w:rsidRPr="00A00B51" w:rsidRDefault="00257D99" w:rsidP="00257D99">
      <w:pPr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/>
          <w:sz w:val="24"/>
          <w:szCs w:val="24"/>
        </w:rPr>
        <w:tab/>
      </w:r>
    </w:p>
    <w:p w:rsidR="00257D99" w:rsidRPr="00A00B51" w:rsidRDefault="00257D99" w:rsidP="00A128D3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A íntegra das irresignações encontra-se anexadas aos autos.</w:t>
      </w:r>
    </w:p>
    <w:p w:rsidR="00257D99" w:rsidRPr="00A00B51" w:rsidRDefault="00257D99" w:rsidP="00A128D3">
      <w:pPr>
        <w:ind w:left="2268"/>
        <w:jc w:val="both"/>
        <w:rPr>
          <w:rFonts w:ascii="Arial Nova" w:hAnsi="Arial Nova" w:cs="Times New Roman"/>
          <w:iCs/>
          <w:sz w:val="24"/>
          <w:szCs w:val="24"/>
        </w:rPr>
      </w:pPr>
    </w:p>
    <w:p w:rsidR="00257D99" w:rsidRPr="00A00B51" w:rsidRDefault="00257D99" w:rsidP="00A128D3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Por fim, pleiteia</w:t>
      </w:r>
      <w:r w:rsidR="00653C05">
        <w:rPr>
          <w:rFonts w:ascii="Arial Nova" w:hAnsi="Arial Nova" w:cs="Times New Roman"/>
          <w:sz w:val="24"/>
          <w:szCs w:val="24"/>
        </w:rPr>
        <w:t>m</w:t>
      </w:r>
      <w:r w:rsidRPr="00A00B51">
        <w:rPr>
          <w:rFonts w:ascii="Arial Nova" w:hAnsi="Arial Nova" w:cs="Times New Roman"/>
          <w:sz w:val="24"/>
          <w:szCs w:val="24"/>
        </w:rPr>
        <w:t xml:space="preserve"> a</w:t>
      </w:r>
      <w:r w:rsidR="00653C05">
        <w:rPr>
          <w:rFonts w:ascii="Arial Nova" w:hAnsi="Arial Nova" w:cs="Times New Roman"/>
          <w:sz w:val="24"/>
          <w:szCs w:val="24"/>
        </w:rPr>
        <w:t>s</w:t>
      </w:r>
      <w:r w:rsidRPr="00A00B51">
        <w:rPr>
          <w:rFonts w:ascii="Arial Nova" w:hAnsi="Arial Nova" w:cs="Times New Roman"/>
          <w:sz w:val="24"/>
          <w:szCs w:val="24"/>
        </w:rPr>
        <w:t xml:space="preserve"> Recorrente</w:t>
      </w:r>
      <w:r w:rsidR="00653C05">
        <w:rPr>
          <w:rFonts w:ascii="Arial Nova" w:hAnsi="Arial Nova" w:cs="Times New Roman"/>
          <w:sz w:val="24"/>
          <w:szCs w:val="24"/>
        </w:rPr>
        <w:t>s</w:t>
      </w:r>
      <w:r w:rsidRPr="00A00B51">
        <w:rPr>
          <w:rFonts w:ascii="Arial Nova" w:hAnsi="Arial Nova" w:cs="Times New Roman"/>
          <w:sz w:val="24"/>
          <w:szCs w:val="24"/>
        </w:rPr>
        <w:t xml:space="preserve">, o atendimento aos pedidos próprios e específicos, de modo que a decisão até então proclamada pelo(a) </w:t>
      </w:r>
      <w:r w:rsidR="00C373B6">
        <w:rPr>
          <w:rFonts w:ascii="Arial Nova" w:hAnsi="Arial Nova" w:cs="Times New Roman"/>
          <w:sz w:val="24"/>
          <w:szCs w:val="24"/>
        </w:rPr>
        <w:t>AGENTE DE CONTRATAÇÃO</w:t>
      </w:r>
      <w:r w:rsidRPr="00A00B51">
        <w:rPr>
          <w:rFonts w:ascii="Arial Nova" w:hAnsi="Arial Nova" w:cs="Times New Roman"/>
          <w:sz w:val="24"/>
          <w:szCs w:val="24"/>
        </w:rPr>
        <w:t xml:space="preserve"> seja modificada</w:t>
      </w:r>
      <w:r w:rsidR="003411A2">
        <w:rPr>
          <w:rFonts w:ascii="Arial Nova" w:hAnsi="Arial Nova" w:cs="Times New Roman"/>
          <w:sz w:val="24"/>
          <w:szCs w:val="24"/>
        </w:rPr>
        <w:t>, tornando 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="00653C05">
        <w:rPr>
          <w:rFonts w:ascii="Arial Nova" w:hAnsi="Arial Nova" w:cs="Times New Roman"/>
          <w:sz w:val="24"/>
          <w:szCs w:val="24"/>
        </w:rPr>
        <w:t xml:space="preserve"> empresa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="00653C05">
        <w:rPr>
          <w:rFonts w:ascii="Arial Nova" w:hAnsi="Arial Nova" w:cs="Times New Roman"/>
          <w:sz w:val="24"/>
          <w:szCs w:val="24"/>
        </w:rPr>
        <w:t xml:space="preserve"> </w:t>
      </w:r>
      <w:proofErr w:type="spellStart"/>
      <w:r w:rsidR="00C373B6">
        <w:rPr>
          <w:rFonts w:ascii="Arial Nova" w:hAnsi="Arial Nova" w:cs="Times New Roman"/>
          <w:sz w:val="24"/>
          <w:szCs w:val="24"/>
        </w:rPr>
        <w:t>questiona</w:t>
      </w:r>
      <w:r w:rsidR="006A3357">
        <w:rPr>
          <w:rFonts w:ascii="Arial Nova" w:hAnsi="Arial Nova" w:cs="Times New Roman"/>
          <w:sz w:val="24"/>
          <w:szCs w:val="24"/>
        </w:rPr>
        <w:t>nte</w:t>
      </w:r>
      <w:proofErr w:type="spellEnd"/>
      <w:r w:rsidR="00F80ECA">
        <w:rPr>
          <w:rFonts w:ascii="Arial Nova" w:hAnsi="Arial Nova" w:cs="Times New Roman"/>
          <w:sz w:val="24"/>
          <w:szCs w:val="24"/>
        </w:rPr>
        <w:t>(s)</w:t>
      </w:r>
      <w:r w:rsidR="00653C05">
        <w:rPr>
          <w:rFonts w:ascii="Arial Nova" w:hAnsi="Arial Nova" w:cs="Times New Roman"/>
          <w:sz w:val="24"/>
          <w:szCs w:val="24"/>
        </w:rPr>
        <w:t xml:space="preserve"> </w:t>
      </w:r>
      <w:r w:rsidR="003411A2">
        <w:rPr>
          <w:rFonts w:ascii="Arial Nova" w:hAnsi="Arial Nova" w:cs="Times New Roman"/>
          <w:sz w:val="24"/>
          <w:szCs w:val="24"/>
        </w:rPr>
        <w:t xml:space="preserve">como </w:t>
      </w:r>
      <w:r w:rsidR="00F80ECA">
        <w:rPr>
          <w:rFonts w:ascii="Arial Nova" w:hAnsi="Arial Nova" w:cs="Times New Roman"/>
          <w:b/>
          <w:sz w:val="24"/>
          <w:szCs w:val="24"/>
        </w:rPr>
        <w:t>h</w:t>
      </w:r>
      <w:r w:rsidR="00C373B6">
        <w:rPr>
          <w:rFonts w:ascii="Arial Nova" w:hAnsi="Arial Nova" w:cs="Times New Roman"/>
          <w:b/>
          <w:sz w:val="24"/>
          <w:szCs w:val="24"/>
        </w:rPr>
        <w:t>abilitada</w:t>
      </w:r>
      <w:r w:rsidR="00F80ECA">
        <w:rPr>
          <w:rFonts w:ascii="Arial Nova" w:hAnsi="Arial Nova" w:cs="Times New Roman"/>
          <w:b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>, de acordo com o atendimento de sua demanda e de acordo com a fundamentação arguida em sua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peça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Pr="00A00B51">
        <w:rPr>
          <w:rFonts w:ascii="Arial Nova" w:hAnsi="Arial Nova" w:cs="Times New Roman"/>
          <w:sz w:val="24"/>
          <w:szCs w:val="24"/>
        </w:rPr>
        <w:t xml:space="preserve"> de manifestação desta fase.</w:t>
      </w:r>
    </w:p>
    <w:p w:rsidR="00257D99" w:rsidRPr="00A00B51" w:rsidRDefault="00257D99" w:rsidP="00A128D3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A128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  <w:r w:rsidRPr="00A00B51">
        <w:rPr>
          <w:rFonts w:ascii="Arial Nova" w:eastAsiaTheme="minorHAnsi" w:hAnsi="Arial Nova"/>
          <w:lang w:eastAsia="en-US"/>
        </w:rPr>
        <w:t>Chega-se os autos a minha decisão para deliberação quanto as argumentações apresentadas, do modo pelo qual, passo a decidir.</w:t>
      </w:r>
    </w:p>
    <w:p w:rsidR="00257D99" w:rsidRPr="00A00B51" w:rsidRDefault="00257D99" w:rsidP="00A128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</w:p>
    <w:p w:rsidR="00257D99" w:rsidRPr="00A00B51" w:rsidRDefault="00257D99" w:rsidP="00A128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  <w:r w:rsidRPr="00A00B51">
        <w:rPr>
          <w:rFonts w:ascii="Arial Nova" w:eastAsiaTheme="minorHAnsi" w:hAnsi="Arial Nova"/>
          <w:lang w:eastAsia="en-US"/>
        </w:rPr>
        <w:t xml:space="preserve">Estes são os fatos. </w:t>
      </w:r>
    </w:p>
    <w:p w:rsidR="00257D99" w:rsidRPr="00A00B51" w:rsidRDefault="00257D99" w:rsidP="00A128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</w:p>
    <w:p w:rsidR="00257D99" w:rsidRDefault="00257D99" w:rsidP="00A128D3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  <w:r w:rsidRPr="00A00B51">
        <w:rPr>
          <w:rFonts w:ascii="Arial Nova" w:eastAsiaTheme="minorHAnsi" w:hAnsi="Arial Nova"/>
          <w:lang w:eastAsia="en-US"/>
        </w:rPr>
        <w:t>Passamos a análise de mérito.</w:t>
      </w:r>
    </w:p>
    <w:p w:rsidR="00257D99" w:rsidRPr="00A00B51" w:rsidRDefault="00257D99" w:rsidP="00257D99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</w:p>
    <w:p w:rsidR="00257D99" w:rsidRPr="00A00B51" w:rsidRDefault="00257D99" w:rsidP="00257D99">
      <w:pPr>
        <w:shd w:val="clear" w:color="auto" w:fill="DBDBDB" w:themeFill="accent3" w:themeFillTint="66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b/>
          <w:sz w:val="24"/>
          <w:szCs w:val="24"/>
        </w:rPr>
        <w:t>03. DO MÉRITO</w:t>
      </w:r>
    </w:p>
    <w:p w:rsidR="00257D99" w:rsidRDefault="00257D99" w:rsidP="00257D99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 Nova" w:eastAsiaTheme="minorHAnsi" w:hAnsi="Arial Nova"/>
          <w:lang w:eastAsia="en-US"/>
        </w:rPr>
      </w:pPr>
    </w:p>
    <w:p w:rsidR="00BA4C0B" w:rsidRDefault="00512994" w:rsidP="00BA4C0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59281F">
        <w:rPr>
          <w:rFonts w:ascii="Arial" w:eastAsiaTheme="minorHAnsi" w:hAnsi="Arial" w:cs="Arial"/>
          <w:lang w:eastAsia="en-US"/>
        </w:rPr>
        <w:t xml:space="preserve">Em suma, os argumentos pontuados pela(s) Recorrente(s) </w:t>
      </w:r>
      <w:r w:rsidRPr="0059281F">
        <w:rPr>
          <w:rFonts w:ascii="Arial" w:hAnsi="Arial" w:cs="Arial"/>
        </w:rPr>
        <w:t xml:space="preserve">limitam-se aos atos praticados no curso do julgamento do processo </w:t>
      </w:r>
      <w:r>
        <w:rPr>
          <w:rFonts w:ascii="Arial" w:hAnsi="Arial" w:cs="Arial"/>
        </w:rPr>
        <w:t>em decorrência da</w:t>
      </w:r>
      <w:r w:rsidRPr="0059281F">
        <w:rPr>
          <w:rFonts w:ascii="Arial" w:hAnsi="Arial" w:cs="Arial"/>
        </w:rPr>
        <w:t xml:space="preserve"> análise dos documentos de habilitação</w:t>
      </w:r>
      <w:r>
        <w:rPr>
          <w:rFonts w:ascii="Arial" w:hAnsi="Arial" w:cs="Arial"/>
        </w:rPr>
        <w:t>, mais precisamente quanto a qualificação técnica, a qual culminou na inabilitação da</w:t>
      </w:r>
      <w:r w:rsidR="00F80ECA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mesma</w:t>
      </w:r>
      <w:r w:rsidR="00F80ECA">
        <w:rPr>
          <w:rFonts w:ascii="Arial" w:hAnsi="Arial" w:cs="Arial"/>
        </w:rPr>
        <w:t>(s)</w:t>
      </w:r>
      <w:r>
        <w:rPr>
          <w:rFonts w:ascii="Arial" w:hAnsi="Arial" w:cs="Arial"/>
        </w:rPr>
        <w:t>, haja vista o descumprimento das condições fixadas do edital.</w:t>
      </w:r>
    </w:p>
    <w:p w:rsidR="00BA4C0B" w:rsidRPr="0059281F" w:rsidRDefault="00BA4C0B" w:rsidP="00512994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>Inicialmente, é crucial estabelecer a distinção entre o processo de pré-qualificação e o presente certame licitatório.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 xml:space="preserve">Natureza da Pré-Qualificação (Processo de Pré-Qualificação nº 2025.07.10.2): A pré-qualificação, conforme o Art. 78 da Lei nº 14.133/2021 (Nova Lei de Licitações e Contratos Administrativos), </w:t>
      </w:r>
      <w:r w:rsidRPr="00202190">
        <w:rPr>
          <w:rFonts w:ascii="Arial" w:hAnsi="Arial" w:cs="Arial"/>
          <w:b/>
          <w:i/>
          <w:u w:val="single"/>
        </w:rPr>
        <w:t xml:space="preserve">é um procedimento seletivo prévio, de caráter permanente, para cadastrar licitantes ou bens e serviços que atendam a condições técnicas previamente especificadas. </w:t>
      </w:r>
    </w:p>
    <w:p w:rsid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202190" w:rsidRDefault="00202190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202190">
        <w:rPr>
          <w:rFonts w:ascii="Arial" w:hAnsi="Arial" w:cs="Arial"/>
        </w:rPr>
        <w:t xml:space="preserve">A pré-qualificação é um instrumento de seleção prévia que visa analisar as condições de habilitação dos interessados, conferindo racionalização e redução de custos. Conforme </w:t>
      </w:r>
      <w:r w:rsidR="005D24B5">
        <w:rPr>
          <w:rFonts w:ascii="Arial" w:hAnsi="Arial" w:cs="Arial"/>
        </w:rPr>
        <w:t>o</w:t>
      </w:r>
      <w:r w:rsidRPr="00202190">
        <w:rPr>
          <w:rFonts w:ascii="Arial" w:hAnsi="Arial" w:cs="Arial"/>
        </w:rPr>
        <w:t xml:space="preserve"> TCU sobre pré-qualificação, "A pré-qualificação é definida como o procedimento seletivo prévio à licitação, convocado por meio de edital, destinado à análise das condições de habilitação, total ou parcial, dos interessados</w:t>
      </w:r>
      <w:r w:rsidR="005D24B5">
        <w:rPr>
          <w:rFonts w:ascii="Arial" w:hAnsi="Arial" w:cs="Arial"/>
        </w:rPr>
        <w:t xml:space="preserve"> ou do objeto a ser contratado"</w:t>
      </w:r>
      <w:r w:rsidRPr="00202190">
        <w:rPr>
          <w:rFonts w:ascii="Arial" w:hAnsi="Arial" w:cs="Arial"/>
        </w:rPr>
        <w:t>. Essa análise das condições de habilitação, que inclui a idoneidade jurídica da empresa comprovada pela certidão de falência, é a espinha dorsal do processo. Permitir que a Recorrente participe com base em uma pré-qualificação cujo documento subjacente vital (certidão de falência) estava vencido no procedimento de origem desvirtua a própria finalidade da pré-</w:t>
      </w:r>
      <w:r w:rsidRPr="00202190">
        <w:rPr>
          <w:rFonts w:ascii="Arial" w:hAnsi="Arial" w:cs="Arial"/>
        </w:rPr>
        <w:lastRenderedPageBreak/>
        <w:t>qualificação de assegurar que as "condições de habilitação de potenciais fornecedores [...] sejam aferidas previamente e utilizadas para várias licitações futuras".</w:t>
      </w:r>
    </w:p>
    <w:p w:rsidR="00202190" w:rsidRDefault="00202190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>Seu objetivo é agilizar futuras licitações de objetos comuns, que não exigem análise individualizada de documentação em cada certame. Ela não se restringe a um único processo, mas visa a constituição de um cadastro de fornecedores aptos a participarem de diversas licitações futuras, conferindo maior celeridade e eficiência à Administração.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Edital</w:t>
      </w:r>
      <w:r w:rsidRPr="006A3357">
        <w:rPr>
          <w:rFonts w:ascii="Arial" w:hAnsi="Arial" w:cs="Arial"/>
        </w:rPr>
        <w:t xml:space="preserve"> e o Anexo II do Projeto Básico confirmam essa natureza: </w:t>
      </w:r>
      <w:r>
        <w:rPr>
          <w:rFonts w:ascii="Arial" w:hAnsi="Arial" w:cs="Arial"/>
        </w:rPr>
        <w:t>Edital</w:t>
      </w:r>
      <w:r w:rsidRPr="006A3357">
        <w:rPr>
          <w:rFonts w:ascii="Arial" w:hAnsi="Arial" w:cs="Arial"/>
        </w:rPr>
        <w:t>, item 20, alínea 2</w:t>
      </w:r>
      <w:r>
        <w:rPr>
          <w:rFonts w:ascii="Arial" w:hAnsi="Arial" w:cs="Arial"/>
        </w:rPr>
        <w:t>: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u w:val="single"/>
        </w:rPr>
      </w:pPr>
      <w:r w:rsidRPr="006A3357">
        <w:rPr>
          <w:rFonts w:ascii="Arial" w:hAnsi="Arial" w:cs="Arial"/>
          <w:b/>
          <w:sz w:val="20"/>
          <w:u w:val="single"/>
        </w:rPr>
        <w:t>"Somente poderão participar empresas previamente qualificadas em procedimentos pretéritos, de acordo com as disposições constantes do Projeto Básico - TR e Estudo Técnico Preliminar – ETP."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Edital</w:t>
      </w:r>
      <w:r w:rsidRPr="006A3357">
        <w:rPr>
          <w:rFonts w:ascii="Arial" w:hAnsi="Arial" w:cs="Arial"/>
        </w:rPr>
        <w:t xml:space="preserve">, Anexo II do Projeto Básico, página 59 </w:t>
      </w:r>
      <w:r>
        <w:rPr>
          <w:rFonts w:ascii="Arial" w:hAnsi="Arial" w:cs="Arial"/>
        </w:rPr>
        <w:t>a</w:t>
      </w:r>
      <w:r w:rsidRPr="006A3357">
        <w:rPr>
          <w:rFonts w:ascii="Arial" w:hAnsi="Arial" w:cs="Arial"/>
        </w:rPr>
        <w:t xml:space="preserve"> 111</w:t>
      </w:r>
      <w:r>
        <w:rPr>
          <w:rFonts w:ascii="Arial" w:hAnsi="Arial" w:cs="Arial"/>
        </w:rPr>
        <w:t>: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u w:val="single"/>
        </w:rPr>
      </w:pPr>
      <w:r w:rsidRPr="006A3357">
        <w:rPr>
          <w:rFonts w:ascii="Arial" w:hAnsi="Arial" w:cs="Arial"/>
          <w:b/>
          <w:sz w:val="20"/>
          <w:u w:val="single"/>
        </w:rPr>
        <w:t>"Para fins de definição das condições de participação presente procedimento, somente poderão participar as licitantes que estejam devidamente qualificadas e detentoras do Certificado de Pré-Qualificação emitido pela Secretaria de Infraestrutura, Obras Públicas e Recursos Hídricos do Município de Horizonte/CE, referente ao Processo de Pré-Qualificação nº 2025.07.10.2, nos termos do art. 78 da Lei Federal nº 14.133/2021."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>Isso significa que a Pré-Qualificação nº 2025.07.10.2 constituiu um rol de empresas que já demonstraram um patamar mínimo de capacidade técnica e jurídica.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</w:rPr>
        <w:t>A pré-qualificação, por ser um processo de cadastro permanente, impõe aos licitantes a obrigação de manter sua documentação subjacente sempre atualizada. O Anexo II do Projeto Básico é taxativo nesse sentido</w:t>
      </w:r>
      <w:r>
        <w:rPr>
          <w:rFonts w:ascii="Arial" w:hAnsi="Arial" w:cs="Arial"/>
        </w:rPr>
        <w:t>, vide</w:t>
      </w:r>
      <w:r w:rsidRPr="006A3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Edital</w:t>
      </w:r>
      <w:r w:rsidRPr="006A3357">
        <w:rPr>
          <w:rFonts w:ascii="Arial" w:hAnsi="Arial" w:cs="Arial"/>
        </w:rPr>
        <w:t xml:space="preserve">, Anexo II do Projeto Básico, página 59 </w:t>
      </w:r>
      <w:r>
        <w:rPr>
          <w:rFonts w:ascii="Arial" w:hAnsi="Arial" w:cs="Arial"/>
        </w:rPr>
        <w:t>a</w:t>
      </w:r>
      <w:r w:rsidRPr="006A3357">
        <w:rPr>
          <w:rFonts w:ascii="Arial" w:hAnsi="Arial" w:cs="Arial"/>
        </w:rPr>
        <w:t xml:space="preserve"> 111</w:t>
      </w:r>
      <w:r>
        <w:rPr>
          <w:rFonts w:ascii="Arial" w:hAnsi="Arial" w:cs="Arial"/>
        </w:rPr>
        <w:t>: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rFonts w:ascii="Arial" w:hAnsi="Arial" w:cs="Arial"/>
          <w:b/>
          <w:sz w:val="20"/>
          <w:u w:val="single"/>
        </w:rPr>
      </w:pPr>
      <w:r w:rsidRPr="006A3357">
        <w:rPr>
          <w:rFonts w:ascii="Arial" w:hAnsi="Arial" w:cs="Arial"/>
          <w:b/>
          <w:sz w:val="20"/>
          <w:u w:val="single"/>
        </w:rPr>
        <w:t>"Nos termos do item 5.3 do edital do Processo de Pré-Qualificação nº 2025.07.10.2, as empresas interessadas deverão estar devidamente certificadas até a data de abertura da licitação, ASSIM COMO, ESTAREM COM TODA A DOCUMENTAÇÃO ATUALIZADA E VALIDADA PARA ESSA DATA." "No caso de eventuais ALTERAÇÕES E ATUALIZAÇÕES quanto aos documentos constantes da Pré-Qualificação nº 2025.07.10.2, os licitantes deverão observar as disposições editalícias correspondentes, PARA FINS DE MANUTENÇÃO DA VALIDADE DO CERTIFICADO DE PRÉ-QUALIFICAÇÃO." "As empresas pré-qualificadas e interessadas na participação, para fins de verificação das condições de habilitação, ALÉM DO DEVER DE MANTER OS DOCUMENTOS ORIGINÁRIOS A PRÉ-QUALIFICAÇÃO DEVIDAMENTE ATUALIZADOS NO PROCEDIMENTO ORIGINÁRIO, deverão, ainda, comprovar o atendimento aos seguintes requisitos adicionais:"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705F2F" w:rsidRDefault="006A3357" w:rsidP="00705F2F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6A3357">
        <w:rPr>
          <w:rFonts w:ascii="Arial" w:hAnsi="Arial" w:cs="Arial"/>
          <w:u w:val="single"/>
        </w:rPr>
        <w:lastRenderedPageBreak/>
        <w:t>Essas cláusulas reforçam a premissa de que a pré-qualificação é um atestado dinâmico de aptidão.</w:t>
      </w:r>
      <w:r w:rsidRPr="006A3357">
        <w:rPr>
          <w:rFonts w:ascii="Arial" w:hAnsi="Arial" w:cs="Arial"/>
        </w:rPr>
        <w:t xml:space="preserve"> O "Certificado de Pré-Qualificação" em si é um documento que reflete essa aptidão, mas sua validade depende da manutenção da validade dos documentos que o embasaram. Uma certidão de falência vencida, por exemplo, invalida o substrato de regularidade </w:t>
      </w:r>
      <w:r w:rsidR="00705F2F">
        <w:rPr>
          <w:rFonts w:ascii="Arial" w:hAnsi="Arial" w:cs="Arial"/>
        </w:rPr>
        <w:t>de uma empresa pré-qualificada.</w:t>
      </w:r>
    </w:p>
    <w:p w:rsidR="00705F2F" w:rsidRDefault="00705F2F" w:rsidP="00705F2F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6A3357" w:rsidRPr="00705F2F" w:rsidRDefault="00705F2F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Deste modo, é importante esclarecer que, o </w:t>
      </w:r>
      <w:r w:rsidR="006A3357" w:rsidRPr="006A3357">
        <w:rPr>
          <w:rFonts w:ascii="Arial" w:hAnsi="Arial" w:cs="Arial"/>
        </w:rPr>
        <w:t>Certificado de Pré-Qualificação</w:t>
      </w:r>
      <w:r>
        <w:rPr>
          <w:rFonts w:ascii="Arial" w:hAnsi="Arial" w:cs="Arial"/>
        </w:rPr>
        <w:t xml:space="preserve"> </w:t>
      </w:r>
      <w:r w:rsidR="006A3357" w:rsidRPr="006A3357">
        <w:rPr>
          <w:rFonts w:ascii="Arial" w:hAnsi="Arial" w:cs="Arial"/>
        </w:rPr>
        <w:t xml:space="preserve">em si, emitido em 12 de agosto de 2025, </w:t>
      </w:r>
      <w:r w:rsidR="006A3357" w:rsidRPr="00705F2F">
        <w:rPr>
          <w:rFonts w:ascii="Arial" w:hAnsi="Arial" w:cs="Arial"/>
          <w:b/>
          <w:u w:val="single"/>
        </w:rPr>
        <w:t>estava</w:t>
      </w:r>
      <w:r w:rsidR="006A3357" w:rsidRPr="006A3357">
        <w:rPr>
          <w:rFonts w:ascii="Arial" w:hAnsi="Arial" w:cs="Arial"/>
        </w:rPr>
        <w:t xml:space="preserve"> dentro de seu prazo de validade (um ano) na data de abertura do certame (10 de outubro de 2025). </w:t>
      </w:r>
      <w:r w:rsidR="006A3357" w:rsidRPr="00705F2F">
        <w:rPr>
          <w:rFonts w:ascii="Arial" w:hAnsi="Arial" w:cs="Arial"/>
          <w:b/>
          <w:u w:val="single"/>
        </w:rPr>
        <w:t xml:space="preserve">O problema apontado não </w:t>
      </w:r>
      <w:r w:rsidR="005D24B5">
        <w:rPr>
          <w:rFonts w:ascii="Arial" w:hAnsi="Arial" w:cs="Arial"/>
          <w:b/>
          <w:u w:val="single"/>
        </w:rPr>
        <w:t>se refere</w:t>
      </w:r>
      <w:r w:rsidR="006A3357" w:rsidRPr="00705F2F">
        <w:rPr>
          <w:rFonts w:ascii="Arial" w:hAnsi="Arial" w:cs="Arial"/>
          <w:b/>
          <w:u w:val="single"/>
        </w:rPr>
        <w:t xml:space="preserve"> a validade do certificado, mas da "certidão de falência" que o sustenta</w:t>
      </w:r>
      <w:r>
        <w:rPr>
          <w:rFonts w:ascii="Arial" w:hAnsi="Arial" w:cs="Arial"/>
          <w:b/>
          <w:u w:val="single"/>
        </w:rPr>
        <w:t xml:space="preserve"> e condiciona que a validade seja mantida por todo o período inicialmente fixado</w:t>
      </w:r>
      <w:r w:rsidRPr="00705F2F">
        <w:rPr>
          <w:rFonts w:ascii="Arial" w:hAnsi="Arial" w:cs="Arial"/>
        </w:rPr>
        <w:t xml:space="preserve"> – 1 ano – o que não foi feito pela licitante,</w:t>
      </w:r>
      <w:r>
        <w:rPr>
          <w:rFonts w:ascii="Arial" w:hAnsi="Arial" w:cs="Arial"/>
          <w:b/>
          <w:u w:val="single"/>
        </w:rPr>
        <w:t xml:space="preserve"> a qual descuidou em manter as condições postas para o procedimento de pré-qualificação</w:t>
      </w:r>
      <w:r w:rsidRPr="00705F2F">
        <w:rPr>
          <w:rFonts w:ascii="Arial" w:hAnsi="Arial" w:cs="Arial"/>
        </w:rPr>
        <w:t xml:space="preserve">, sobretudo, em se tratando de procedimentos distintos, ao qual, embora a pré-qualificação pode – como bem foi – utilizada nesse procedimento, todavia também poderia não ter sido, haja vista que a pré-qualificação é um </w:t>
      </w:r>
      <w:r>
        <w:rPr>
          <w:rFonts w:ascii="Arial" w:hAnsi="Arial" w:cs="Arial"/>
        </w:rPr>
        <w:t xml:space="preserve">procedimento genérico e </w:t>
      </w:r>
      <w:proofErr w:type="spellStart"/>
      <w:r>
        <w:rPr>
          <w:rFonts w:ascii="Arial" w:hAnsi="Arial" w:cs="Arial"/>
        </w:rPr>
        <w:t>embasatório</w:t>
      </w:r>
      <w:proofErr w:type="spellEnd"/>
      <w:r>
        <w:rPr>
          <w:rFonts w:ascii="Arial" w:hAnsi="Arial" w:cs="Arial"/>
        </w:rPr>
        <w:t xml:space="preserve"> para qualquer outro procedimento futuro que vier a ser utilizado nesse sentido</w:t>
      </w:r>
      <w:r w:rsidR="006A3357" w:rsidRPr="00705F2F">
        <w:rPr>
          <w:rFonts w:ascii="Arial" w:hAnsi="Arial" w:cs="Arial"/>
        </w:rPr>
        <w:t>.</w:t>
      </w:r>
    </w:p>
    <w:p w:rsidR="006A3357" w:rsidRPr="006A3357" w:rsidRDefault="006A3357" w:rsidP="006A3357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>A exigência de que o licitante comprove condições pré-existentes e as mantenha válidas em momento oportuno é um pilar da segurança jurídica nos certames. No caso em tela, a aptidão da CONSTRUVASP para participar decorria de sua pré-qualificação, cujas condições deveriam estar atestadas e válidas na data de abertura do presente certame, conforme o princípio da vinculação ao instrumento convocatório e o Anexo II do Projeto Básico. Não se trata de uma exigência nova ou superveniente, mas da manutenção de um status já validado.</w:t>
      </w: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b/>
          <w:u w:val="single"/>
        </w:rPr>
      </w:pPr>
      <w:r w:rsidRPr="00E27230">
        <w:rPr>
          <w:rFonts w:ascii="Arial" w:hAnsi="Arial" w:cs="Arial"/>
        </w:rPr>
        <w:t xml:space="preserve">A certidão de falência não foi exigida diretamente para este processo de concorrência como um documento autônomo e de primeira análise, mas sim como um dos elementos fundamentais que compuseram e deram suporte à pré-qualificação da empresa no procedimento original (Processo nº 2025.07.10.2). </w:t>
      </w:r>
      <w:r w:rsidRPr="00E27230">
        <w:rPr>
          <w:rFonts w:ascii="Arial" w:hAnsi="Arial" w:cs="Arial"/>
          <w:b/>
          <w:u w:val="single"/>
        </w:rPr>
        <w:t>Sua validade é intrínseca à manutenção da regularidade da empresa no cadastro de pré-qualificados, e, por extensão, à sua habilitação para participar de qualquer certame que se valha desse cadastro.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5D24B5" w:rsidRDefault="005D24B5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5D24B5">
        <w:rPr>
          <w:rFonts w:ascii="Arial" w:hAnsi="Arial" w:cs="Arial"/>
        </w:rPr>
        <w:t xml:space="preserve">A validade do certificado de pré-qualificação está diretamente atrelada à validade dos documentos que o embasaram, estabelecendo um limite claro para sua eficácia. </w:t>
      </w:r>
      <w:r>
        <w:rPr>
          <w:rFonts w:ascii="Arial" w:hAnsi="Arial" w:cs="Arial"/>
        </w:rPr>
        <w:t>O</w:t>
      </w:r>
      <w:r w:rsidRPr="005D2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Tribunal de Contas da União, em seu manual, </w:t>
      </w:r>
      <w:r w:rsidRPr="005D24B5">
        <w:rPr>
          <w:rFonts w:ascii="Arial" w:hAnsi="Arial" w:cs="Arial"/>
        </w:rPr>
        <w:t xml:space="preserve">é enfático ao dispor que os certificados de pré-qualificação </w:t>
      </w:r>
      <w:r w:rsidRPr="005D24B5">
        <w:rPr>
          <w:rFonts w:ascii="Arial" w:hAnsi="Arial" w:cs="Arial"/>
          <w:b/>
          <w:u w:val="single"/>
        </w:rPr>
        <w:t>"serão válidos por no máximo um ano, não podendo ultrapassar o prazo de validade dos documentos apresentados pelos particulares. Podem ser, no entanto, atualizados a qualquer tempo, dentro do período de um ano ou do período fixado pela Administração, se menor que um ano"</w:t>
      </w:r>
      <w:r w:rsidRPr="005D24B5">
        <w:rPr>
          <w:rFonts w:ascii="Arial" w:hAnsi="Arial" w:cs="Arial"/>
        </w:rPr>
        <w:t xml:space="preserve">. </w:t>
      </w:r>
    </w:p>
    <w:p w:rsidR="005D24B5" w:rsidRDefault="005D24B5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5D24B5" w:rsidRPr="005D24B5" w:rsidRDefault="005D24B5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5D24B5">
        <w:rPr>
          <w:rFonts w:ascii="Arial" w:hAnsi="Arial" w:cs="Arial"/>
        </w:rPr>
        <w:t xml:space="preserve">Este preceito legal cristalino corrobora que a certidão de falência, parte integrante da habilitação na pré-qualificação, devia estar válida, e que a </w:t>
      </w:r>
      <w:r w:rsidRPr="005D24B5">
        <w:rPr>
          <w:rFonts w:ascii="Arial" w:hAnsi="Arial" w:cs="Arial"/>
        </w:rPr>
        <w:lastRenderedPageBreak/>
        <w:t>expiração de sua validade compromete a própria aptidão da pré-qualificação. A falha da Recorrente em manter essa documentação em dia no procedimento original da pré-qualificação implica que seu certificado de pré-qualificação não era válido no que tange à certidão de falência na data de abertura do certame, sendo um óbice intransponível à sua habilitação.</w:t>
      </w:r>
    </w:p>
    <w:p w:rsidR="005D24B5" w:rsidRDefault="005D24B5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</w:pP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É imperativo reconhecer que a pré-qualificação não configura uma fase anterior ou preliminar do presente procedimento </w:t>
      </w:r>
      <w:proofErr w:type="gramStart"/>
      <w:r w:rsidRPr="00E27230">
        <w:rPr>
          <w:rFonts w:ascii="Arial" w:hAnsi="Arial" w:cs="Arial"/>
        </w:rPr>
        <w:t>licitatório</w:t>
      </w:r>
      <w:proofErr w:type="gramEnd"/>
      <w:r w:rsidRPr="00E27230">
        <w:rPr>
          <w:rFonts w:ascii="Arial" w:hAnsi="Arial" w:cs="Arial"/>
        </w:rPr>
        <w:t>, mas sim um procedimento autônomo, dotado de finalidade e regras próprias. Sua vocação é de caráter permanente, visando à formação de um banco de fornecedores qualificados para múltiplas licitações futuras, conferindo celeridade e eficiência à Administração em contratações subsequentes. O certificado de pré-qualificação é o atestado dessa condição, mas ele reflete o status dos documentos que o originaram.</w:t>
      </w: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  <w:u w:val="single"/>
        </w:rPr>
        <w:t>As condições para a pré-qualificação original eram claras e públicas, estabelecendo expressamente que caberia ao licitante a responsabilidade contínua de manter toda a sua documentação devidamente atualizada no procedimento originário, incluindo a certidão de falência.</w:t>
      </w:r>
      <w:r w:rsidRPr="00E27230">
        <w:rPr>
          <w:rFonts w:ascii="Arial" w:hAnsi="Arial" w:cs="Arial"/>
        </w:rPr>
        <w:t xml:space="preserve"> Essa exigência assegura que o certificado de pré-qualificação reflita, em tempo real, a capacidade jurídica e econômica da empresa, sendo um ônus do pré-qualificado o zelo por essa constante atualização.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>Aceitar uma certidão de falência vencida, ou qualquer outro documento fundamental para a pré-qualificação que não estivesse atualizado na data exigida, mesmo que o certificado de pré-qualificação não tenha formalmente expirado, tornaria inócuo e esvaziaria o propósito e a segurança jurídica do próprio procedimento de pré-qualificação. O sistema de pré-qualificação pressupõe a permanente idoneidade da empresa, validada pela atualização contínua dos documentos que a fundamentam.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>O edital da Concorrência Eletrônica nº 90102/2025 é explícito ao disciplinar as condições específicas para este certame, exigindo que as empresas pré-qualificadas mantenham seus documentos originais, que deram base à pré-qualificação, devidamente atualizados e válidos na data de abertura da licitação. Essa exigência, contida no Anexo II do Projeto Básico e no item 8.1 do edital, não deixa margem para interpretações divergentes.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>A argumentação do licitante demonstra uma aparente confusão entre a natureza e os requisitos do procedimento autônomo de pré-qualificação e as exigências específicas para o certame licitatório atual. A validade do certificado de pré-qualificação é dependente da validade contínua de seus documentos subjacentes, e a aferição dessa condição é expressamente prevista na data de abertura da licitação, não podendo ser postergada ou desconsiderada sem subverter as regras do jogo.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inabilitação não se funda em mero formalismo, mas na estrita observância à legalidade e ao atendimento das exigências expressas e claras postas no Projeto Básico da Secretaria competente e no edital. As regras que </w:t>
      </w:r>
      <w:r w:rsidRPr="00E27230">
        <w:rPr>
          <w:rFonts w:ascii="Arial" w:hAnsi="Arial" w:cs="Arial"/>
        </w:rPr>
        <w:lastRenderedPageBreak/>
        <w:t>exigem a manutenção da documentação atualizada no procedimento de pré-qualificação e sua validade na data de abertura do certame são mecanismos de controle para garantir a qualificação contínua dos participantes e a seleção da proposta mais vantajosa, protegendo o interesse público de forma substancial.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pré-qualificação, em sua concepção, serve como um instrumento crucial para a racionalização e a segurança das contratações públicas, atuando como um filtro prévio de idoneidade. Conforme enfatizado por Fabio Vilas Gonçalves Filho (Resumo), a pré-qualificação é </w:t>
      </w:r>
      <w:r w:rsidRPr="00E27230">
        <w:rPr>
          <w:rFonts w:ascii="Arial" w:hAnsi="Arial" w:cs="Arial"/>
          <w:b/>
          <w:u w:val="single"/>
        </w:rPr>
        <w:t>"eficaz, sobretudo para mitigar assimetrias de informação objetivando dissipar os casos de seleções adversas, o que irá, certamente, contribuir na eficiência, eficácia, celeridade e economicidade para atingir o interesse público".</w:t>
      </w:r>
      <w:r w:rsidRPr="00E27230">
        <w:rPr>
          <w:rFonts w:ascii="Arial" w:hAnsi="Arial" w:cs="Arial"/>
        </w:rPr>
        <w:t xml:space="preserve"> </w:t>
      </w:r>
    </w:p>
    <w:p w:rsid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b/>
          <w:u w:val="single"/>
        </w:rPr>
      </w:pPr>
      <w:r w:rsidRPr="00E27230">
        <w:rPr>
          <w:rFonts w:ascii="Arial" w:hAnsi="Arial" w:cs="Arial"/>
        </w:rPr>
        <w:t xml:space="preserve">A falha da Recorrente em manter sua certidão de falência atualizada no procedimento original da pré-qualificação reintroduz as assimetrias de informação que a pré-qualificação visa combater. </w:t>
      </w:r>
      <w:r w:rsidRPr="00E27230">
        <w:rPr>
          <w:rFonts w:ascii="Arial" w:hAnsi="Arial" w:cs="Arial"/>
          <w:b/>
          <w:u w:val="single"/>
        </w:rPr>
        <w:t>Permitir a participação de uma empresa com base em documentos subjacentes desatualizados de sua pré-qualificação equivaleria a tolerar um risco de seleção adversa, em flagrante contrariedade aos objetivos de eficiência e segurança da NLLCA.</w:t>
      </w:r>
    </w:p>
    <w:p w:rsidR="00E27230" w:rsidRDefault="00E27230" w:rsidP="00E27230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inabilitação da Recorrente é uma medida de gestão de riscos que se alinha com o propósito da pré-qualificação de prevenir problemas futuros. Fabio Vilas Gonçalves Filho vislumbra na pré-qualificação uma "excelente ferramenta para evitar inexecução contratual, visto que a pré-qualificação é instrumento prévio de seleção de fornecedores e/ ou bens e / ou serviços que são efetivamente capazes de atender os requisitos estabelecidos pela Administração para a futura contratação". </w:t>
      </w:r>
    </w:p>
    <w:p w:rsidR="00E27230" w:rsidRPr="00E27230" w:rsidRDefault="00E27230" w:rsidP="00E27230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>A não manutenção de um documento como a certidão de falência válida no registro original da pré-qualificação, que comprova a saúde jurídica da empresa, aumenta o risco de inexecução contratual e de prejuízos ao erário, tal como o superfaturamento ou a deficiência na execução de obras, conforme a doutrina de Anderson Morais Diniz (2021, p. 255), citada por Vilas Filho. A exigência de documentação atualizada é, assim, uma salvaguarda para a Administração.</w:t>
      </w:r>
    </w:p>
    <w:p w:rsidR="00E27230" w:rsidRPr="00E27230" w:rsidRDefault="00E27230" w:rsidP="00E27230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concepção da pré-qualificação como uma "diligência antecipada" tem como corolário a dispensa de reanálises exaustivas em licitações subsequentes, agilizando o processo. </w:t>
      </w:r>
      <w:r w:rsidR="003E3F07">
        <w:rPr>
          <w:rFonts w:ascii="Arial" w:hAnsi="Arial" w:cs="Arial"/>
        </w:rPr>
        <w:t>N</w:t>
      </w:r>
      <w:r w:rsidRPr="00E27230">
        <w:rPr>
          <w:rFonts w:ascii="Arial" w:hAnsi="Arial" w:cs="Arial"/>
        </w:rPr>
        <w:t>o caso da pré-</w:t>
      </w:r>
      <w:r w:rsidR="003E3F07">
        <w:rPr>
          <w:rFonts w:ascii="Arial" w:hAnsi="Arial" w:cs="Arial"/>
        </w:rPr>
        <w:t xml:space="preserve">qualificação subjetiva, haverá </w:t>
      </w:r>
      <w:r w:rsidRPr="00E27230">
        <w:rPr>
          <w:rFonts w:ascii="Arial" w:hAnsi="Arial" w:cs="Arial"/>
        </w:rPr>
        <w:t>análise de documentos de habilitação que futuramente serão dispensados em l</w:t>
      </w:r>
      <w:r w:rsidR="003E3F07">
        <w:rPr>
          <w:rFonts w:ascii="Arial" w:hAnsi="Arial" w:cs="Arial"/>
        </w:rPr>
        <w:t>icitações subsequentes</w:t>
      </w:r>
      <w:r w:rsidRPr="00E27230">
        <w:rPr>
          <w:rFonts w:ascii="Arial" w:hAnsi="Arial" w:cs="Arial"/>
        </w:rPr>
        <w:t>. Se os documentos que alicerçam essa diligência antecipada não são mantidos atualizados, o benefício de celeridade e economia é perdido, pois a Administração seria compelida a refazer o trabalho de verificação de condições que deveriam estar continuamente garantidas pelo status de pré-qualificado. A desídia documental da Recorrente desvirtua a lógica e os ganhos de eficiência almejados pela NLLCA.</w:t>
      </w:r>
    </w:p>
    <w:p w:rsidR="003E3F07" w:rsidRDefault="003E3F07" w:rsidP="00E27230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NLLCA apresenta diversas novidades que busca um</w:t>
      </w:r>
      <w:r w:rsidR="00E27230" w:rsidRPr="00E272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claro aprimoramento dos processos </w:t>
      </w:r>
      <w:r w:rsidR="00E27230" w:rsidRPr="00E27230">
        <w:rPr>
          <w:rFonts w:ascii="Arial" w:hAnsi="Arial" w:cs="Arial"/>
        </w:rPr>
        <w:t>a partir das boas práticas sedimentadas em leis esparsas, na doutrina e jurisprudências dos Tribunais Superiores e Cortes de Contas. Essa evolução leva a um modelo de Administração Pública gerencial pautado nos resultados que busca inovar, deixando de ter uma visão míope em procedimentos baseados unicamente numa legalidade estrita, deixando de lado a eficiênc</w:t>
      </w:r>
      <w:r>
        <w:rPr>
          <w:rFonts w:ascii="Arial" w:hAnsi="Arial" w:cs="Arial"/>
        </w:rPr>
        <w:t xml:space="preserve">ia", vide </w:t>
      </w:r>
      <w:r w:rsidR="00E27230" w:rsidRPr="00E27230">
        <w:rPr>
          <w:rFonts w:ascii="Arial" w:hAnsi="Arial" w:cs="Arial"/>
        </w:rPr>
        <w:t xml:space="preserve">Fabio Vilas Gonçalves Filho. </w:t>
      </w:r>
    </w:p>
    <w:p w:rsidR="00E27230" w:rsidRPr="003E3F07" w:rsidRDefault="00E27230" w:rsidP="00E27230">
      <w:pPr>
        <w:pStyle w:val="NormalWeb"/>
        <w:shd w:val="clear" w:color="auto" w:fill="FFFFFF"/>
        <w:ind w:firstLine="1134"/>
        <w:jc w:val="both"/>
        <w:rPr>
          <w:rFonts w:ascii="Arial" w:hAnsi="Arial" w:cs="Arial"/>
          <w:b/>
          <w:u w:val="single"/>
        </w:rPr>
      </w:pPr>
      <w:r w:rsidRPr="003E3F07">
        <w:rPr>
          <w:rFonts w:ascii="Arial" w:hAnsi="Arial" w:cs="Arial"/>
          <w:b/>
          <w:u w:val="single"/>
        </w:rPr>
        <w:t>Assim, a exigência de que a certidão de falência esteja válida na data da abertura do certame, mesmo para empresas pré-qualificadas, não é uma adesão cega à formalidade, mas sim a manifestação da "legalidade estrita" que garante a "eficiência" e "segurança" dos resultados almejados, assegurando que o status de pré-qualificado reflita uma idoneidade atual para a contratação mais vantajosa.</w:t>
      </w:r>
    </w:p>
    <w:p w:rsidR="003E3F07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decisão de inabilitação se insere na busca pela </w:t>
      </w:r>
      <w:proofErr w:type="spellStart"/>
      <w:r w:rsidRPr="00E27230">
        <w:rPr>
          <w:rFonts w:ascii="Arial" w:hAnsi="Arial" w:cs="Arial"/>
        </w:rPr>
        <w:t>vantajosidade</w:t>
      </w:r>
      <w:proofErr w:type="spellEnd"/>
      <w:r w:rsidRPr="00E27230">
        <w:rPr>
          <w:rFonts w:ascii="Arial" w:hAnsi="Arial" w:cs="Arial"/>
        </w:rPr>
        <w:t xml:space="preserve"> da contratação, que, conforme preceituado na NLLCA e pela doutrina, transcende o menor preço. </w:t>
      </w:r>
    </w:p>
    <w:p w:rsidR="003E3F07" w:rsidRDefault="003E3F07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3E3F07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proofErr w:type="spellStart"/>
      <w:r w:rsidRPr="00E27230">
        <w:rPr>
          <w:rFonts w:ascii="Arial" w:hAnsi="Arial" w:cs="Arial"/>
        </w:rPr>
        <w:t>Lidineide</w:t>
      </w:r>
      <w:proofErr w:type="spellEnd"/>
      <w:r w:rsidRPr="00E27230">
        <w:rPr>
          <w:rFonts w:ascii="Arial" w:hAnsi="Arial" w:cs="Arial"/>
        </w:rPr>
        <w:t xml:space="preserve"> Cardoso (2023, p. 127) adverte que </w:t>
      </w:r>
      <w:r w:rsidRPr="003E3F07">
        <w:rPr>
          <w:rFonts w:ascii="Arial" w:hAnsi="Arial" w:cs="Arial"/>
          <w:b/>
          <w:u w:val="single"/>
        </w:rPr>
        <w:t xml:space="preserve">"não comungamos do entendimento de que a análise da </w:t>
      </w:r>
      <w:proofErr w:type="spellStart"/>
      <w:r w:rsidRPr="003E3F07">
        <w:rPr>
          <w:rFonts w:ascii="Arial" w:hAnsi="Arial" w:cs="Arial"/>
          <w:b/>
          <w:u w:val="single"/>
        </w:rPr>
        <w:t>vantajosidade</w:t>
      </w:r>
      <w:proofErr w:type="spellEnd"/>
      <w:r w:rsidRPr="003E3F07">
        <w:rPr>
          <w:rFonts w:ascii="Arial" w:hAnsi="Arial" w:cs="Arial"/>
          <w:b/>
          <w:u w:val="single"/>
        </w:rPr>
        <w:t xml:space="preserve"> diz respeito apenas ao fator 'preço' final, a manutenção de contratos com execução precária acarreta graves danos à administração". </w:t>
      </w:r>
    </w:p>
    <w:p w:rsidR="003E3F07" w:rsidRDefault="003E3F07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E27230" w:rsidRPr="00E27230" w:rsidRDefault="00E27230" w:rsidP="00E27230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  <w:r w:rsidRPr="00E27230">
        <w:rPr>
          <w:rFonts w:ascii="Arial" w:hAnsi="Arial" w:cs="Arial"/>
        </w:rPr>
        <w:t xml:space="preserve">A pré-qualificação serve, justamente, para assegurar que os licitantes possuam tempo suficiente para comprovar a idoneidade, capacidade e confiabilidade necessárias para as contratações. Uma certidão de falência desatualizada compromete essa confiabilidade, indicando que a empresa pode não cumprir os requisitos de habilitação em um nível satisfatório, desvirtuando a verdadeira </w:t>
      </w:r>
      <w:proofErr w:type="spellStart"/>
      <w:r w:rsidRPr="00E27230">
        <w:rPr>
          <w:rFonts w:ascii="Arial" w:hAnsi="Arial" w:cs="Arial"/>
        </w:rPr>
        <w:t>vantajosidade</w:t>
      </w:r>
      <w:proofErr w:type="spellEnd"/>
      <w:r w:rsidRPr="00E27230">
        <w:rPr>
          <w:rFonts w:ascii="Arial" w:hAnsi="Arial" w:cs="Arial"/>
        </w:rPr>
        <w:t xml:space="preserve"> que se busca na perspectiva de custo-benefício e de um bom desempenho contratual.</w:t>
      </w:r>
    </w:p>
    <w:p w:rsidR="00E13E42" w:rsidRPr="00E13E42" w:rsidRDefault="00E13E42" w:rsidP="00E13E42">
      <w:pPr>
        <w:pStyle w:val="NormalWeb"/>
        <w:shd w:val="clear" w:color="auto" w:fill="FFFFFF"/>
        <w:ind w:firstLine="1134"/>
        <w:jc w:val="both"/>
        <w:rPr>
          <w:rFonts w:ascii="Arial" w:hAnsi="Arial" w:cs="Arial"/>
          <w:u w:val="single"/>
        </w:rPr>
      </w:pPr>
      <w:r w:rsidRPr="00E13E42">
        <w:rPr>
          <w:rFonts w:ascii="Arial" w:hAnsi="Arial" w:cs="Arial"/>
          <w:u w:val="single"/>
        </w:rPr>
        <w:t>A licitação é um procedimento que estabelece "regras do jogo" fundamentais, baseadas na preclusão, para garantir a isonomia na seleção dos fornecedores. Conforme essa perspectiva, uma licitante que não atende às condições elementares de habilitação – incluindo a tempestividade na apresentação da documentação – não pode oferecer uma proposta que seja verdadeiramente a "mais vantajosa para a Administração", uma vez que sua contratação seria inviável devido à inobservância das regras substantivas do edital.</w:t>
      </w:r>
    </w:p>
    <w:p w:rsidR="00E13E42" w:rsidRDefault="00E13E42" w:rsidP="00E13E42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E13E42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ponderamos </w:t>
      </w:r>
      <w:r w:rsidRPr="00E13E42">
        <w:rPr>
          <w:rFonts w:ascii="Arial" w:hAnsi="Arial" w:cs="Arial"/>
        </w:rPr>
        <w:t xml:space="preserve">que, ante uma clara regra </w:t>
      </w:r>
      <w:proofErr w:type="spellStart"/>
      <w:r w:rsidRPr="00E13E42">
        <w:rPr>
          <w:rFonts w:ascii="Arial" w:hAnsi="Arial" w:cs="Arial"/>
        </w:rPr>
        <w:t>editalícia</w:t>
      </w:r>
      <w:proofErr w:type="spellEnd"/>
      <w:r w:rsidRPr="00E13E42">
        <w:rPr>
          <w:rFonts w:ascii="Arial" w:hAnsi="Arial" w:cs="Arial"/>
        </w:rPr>
        <w:t xml:space="preserve">, a utilização de uma argumentação puramente </w:t>
      </w:r>
      <w:proofErr w:type="spellStart"/>
      <w:r w:rsidRPr="00E13E42">
        <w:rPr>
          <w:rFonts w:ascii="Arial" w:hAnsi="Arial" w:cs="Arial"/>
        </w:rPr>
        <w:t>principiológica</w:t>
      </w:r>
      <w:proofErr w:type="spellEnd"/>
      <w:r w:rsidRPr="00E13E42">
        <w:rPr>
          <w:rFonts w:ascii="Arial" w:hAnsi="Arial" w:cs="Arial"/>
        </w:rPr>
        <w:t xml:space="preserve"> para alterar as "regras do jogo" durante o certame não se alinha aos princípios da Administração Pública, mesmo diante dos notórios princípios da vantajosidade e do formalismo moderado. </w:t>
      </w:r>
    </w:p>
    <w:p w:rsidR="00E13E42" w:rsidRPr="00E13E42" w:rsidRDefault="00E13E42" w:rsidP="00E13E42">
      <w:pPr>
        <w:pStyle w:val="NormalWeb"/>
        <w:shd w:val="clear" w:color="auto" w:fill="FFFFFF"/>
        <w:ind w:firstLine="1134"/>
        <w:jc w:val="both"/>
        <w:rPr>
          <w:rFonts w:ascii="Arial" w:hAnsi="Arial" w:cs="Arial"/>
          <w:u w:val="single"/>
        </w:rPr>
      </w:pPr>
      <w:r w:rsidRPr="00E13E42">
        <w:rPr>
          <w:rFonts w:ascii="Arial" w:hAnsi="Arial" w:cs="Arial"/>
          <w:u w:val="single"/>
        </w:rPr>
        <w:t xml:space="preserve">A é um rito formal que exige um ambiente negocial seguro, calcado em segurança jurídica, transparência e respeito às condições de seleção </w:t>
      </w:r>
      <w:r w:rsidRPr="00E13E42">
        <w:rPr>
          <w:rFonts w:ascii="Arial" w:hAnsi="Arial" w:cs="Arial"/>
          <w:u w:val="single"/>
        </w:rPr>
        <w:lastRenderedPageBreak/>
        <w:t>preestabelecidas. A verdadeira segurança para o agente de contratação reside na clareza e objetividade do tratamento da matéria nos editais, e não na busca de uma suposta vantajosidade a qualquer custo que desconsidere os requisitos documentais e temporais previamente definidos.</w:t>
      </w:r>
    </w:p>
    <w:p w:rsidR="00E13E42" w:rsidRDefault="00E13E42" w:rsidP="00E13E42">
      <w:pPr>
        <w:pStyle w:val="NormalWeb"/>
        <w:shd w:val="clear" w:color="auto" w:fill="FFFFFF"/>
        <w:ind w:firstLine="1134"/>
        <w:jc w:val="both"/>
        <w:rPr>
          <w:rFonts w:ascii="Arial" w:hAnsi="Arial" w:cs="Arial"/>
        </w:rPr>
      </w:pPr>
      <w:r w:rsidRPr="00E13E42">
        <w:rPr>
          <w:rFonts w:ascii="Arial" w:hAnsi="Arial" w:cs="Arial"/>
        </w:rPr>
        <w:t>Portanto, a inabilitação das empresas é mantida,</w:t>
      </w:r>
      <w:r w:rsidR="003E3F07">
        <w:rPr>
          <w:rFonts w:ascii="Arial" w:hAnsi="Arial" w:cs="Arial"/>
        </w:rPr>
        <w:t xml:space="preserve"> pois as falhas na apresentação, na</w:t>
      </w:r>
      <w:r w:rsidRPr="00E13E42">
        <w:rPr>
          <w:rFonts w:ascii="Arial" w:hAnsi="Arial" w:cs="Arial"/>
        </w:rPr>
        <w:t xml:space="preserve"> adequação do documento ou pela intempestividade de sua emissão, são consideradas infrações a requisitos objetivos de habilitação. </w:t>
      </w:r>
    </w:p>
    <w:p w:rsidR="00E13E42" w:rsidRPr="00E13E42" w:rsidRDefault="00E13E42" w:rsidP="00E13E42">
      <w:pPr>
        <w:pStyle w:val="NormalWeb"/>
        <w:shd w:val="clear" w:color="auto" w:fill="FFFFFF"/>
        <w:ind w:firstLine="1134"/>
        <w:jc w:val="both"/>
        <w:rPr>
          <w:rFonts w:ascii="Arial" w:hAnsi="Arial" w:cs="Arial"/>
          <w:b/>
          <w:u w:val="single"/>
        </w:rPr>
      </w:pPr>
      <w:r w:rsidRPr="00E13E42">
        <w:rPr>
          <w:rFonts w:ascii="Arial" w:hAnsi="Arial" w:cs="Arial"/>
        </w:rPr>
        <w:t xml:space="preserve">A Administração reitera que, embora princípios como a competitividade e a vantajosidade sejam relevantes, eles não podem se sobrepor à legalidade e à vinculação ao instrumento convocatório, que são pilares para a segurança jurídica do processo licitatório. </w:t>
      </w:r>
    </w:p>
    <w:p w:rsidR="00007F97" w:rsidRDefault="00007F97" w:rsidP="003C551F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257D99" w:rsidRPr="00A00B51" w:rsidRDefault="00257D99" w:rsidP="00257D99">
      <w:pPr>
        <w:shd w:val="clear" w:color="auto" w:fill="DBDBDB" w:themeFill="accent3" w:themeFillTint="66"/>
        <w:jc w:val="both"/>
        <w:rPr>
          <w:rFonts w:ascii="Arial Nova" w:hAnsi="Arial Nova" w:cs="Times New Roman"/>
          <w:b/>
          <w:sz w:val="24"/>
          <w:szCs w:val="24"/>
        </w:rPr>
      </w:pPr>
      <w:r w:rsidRPr="00A00B51">
        <w:rPr>
          <w:rFonts w:ascii="Arial Nova" w:hAnsi="Arial Nova" w:cs="Times New Roman"/>
          <w:b/>
          <w:sz w:val="24"/>
          <w:szCs w:val="24"/>
        </w:rPr>
        <w:t>04. DA DECISÃO</w:t>
      </w:r>
    </w:p>
    <w:p w:rsidR="00257D99" w:rsidRPr="00A00B51" w:rsidRDefault="00257D99" w:rsidP="00257D99">
      <w:pPr>
        <w:ind w:firstLine="708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007F97" w:rsidP="003C718B">
      <w:pPr>
        <w:widowControl/>
        <w:adjustRightInd w:val="0"/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007F97">
        <w:rPr>
          <w:rFonts w:ascii="Arial Nova" w:hAnsi="Arial Nova" w:cs="Times New Roman"/>
          <w:sz w:val="24"/>
          <w:szCs w:val="24"/>
        </w:rPr>
        <w:t xml:space="preserve">Pelas razões expostas, e no exercício das atribuições legais </w:t>
      </w:r>
      <w:r>
        <w:rPr>
          <w:rFonts w:ascii="Arial Nova" w:hAnsi="Arial Nova" w:cs="Times New Roman"/>
          <w:sz w:val="24"/>
          <w:szCs w:val="24"/>
        </w:rPr>
        <w:t xml:space="preserve">a mim </w:t>
      </w:r>
      <w:r w:rsidRPr="00007F97">
        <w:rPr>
          <w:rFonts w:ascii="Arial Nova" w:hAnsi="Arial Nova" w:cs="Times New Roman"/>
          <w:sz w:val="24"/>
          <w:szCs w:val="24"/>
        </w:rPr>
        <w:t>conferidas</w:t>
      </w:r>
      <w:r w:rsidR="00257D99" w:rsidRPr="00A00B51">
        <w:rPr>
          <w:rFonts w:ascii="Arial Nova" w:hAnsi="Arial Nova" w:cs="Times New Roman"/>
          <w:sz w:val="24"/>
          <w:szCs w:val="24"/>
        </w:rPr>
        <w:t xml:space="preserve">, </w:t>
      </w:r>
      <w:r w:rsidR="003C718B">
        <w:rPr>
          <w:rFonts w:ascii="Arial Nova" w:hAnsi="Arial Nova" w:cs="Times New Roman"/>
          <w:sz w:val="24"/>
          <w:szCs w:val="24"/>
        </w:rPr>
        <w:t>estando cumpridos os pressupostos recursais apresentados pela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="003C718B">
        <w:rPr>
          <w:rFonts w:ascii="Arial Nova" w:hAnsi="Arial Nova" w:cs="Times New Roman"/>
          <w:sz w:val="24"/>
          <w:szCs w:val="24"/>
        </w:rPr>
        <w:t xml:space="preserve"> empresa</w:t>
      </w:r>
      <w:r w:rsidR="00F80ECA">
        <w:rPr>
          <w:rFonts w:ascii="Arial Nova" w:hAnsi="Arial Nova" w:cs="Times New Roman"/>
          <w:sz w:val="24"/>
          <w:szCs w:val="24"/>
        </w:rPr>
        <w:t>(s)</w:t>
      </w:r>
      <w:r w:rsidR="003C718B">
        <w:rPr>
          <w:rFonts w:ascii="Arial Nova" w:hAnsi="Arial Nova" w:cs="Times New Roman"/>
          <w:sz w:val="24"/>
          <w:szCs w:val="24"/>
        </w:rPr>
        <w:t xml:space="preserve"> </w:t>
      </w:r>
      <w:r w:rsidR="006A3357">
        <w:rPr>
          <w:rFonts w:ascii="Arial Nova" w:hAnsi="Arial Nova" w:cs="Times New Roman"/>
          <w:b/>
          <w:bCs/>
          <w:sz w:val="24"/>
          <w:szCs w:val="24"/>
        </w:rPr>
        <w:t>CONSTRUVASP CONSTRUÇÕES &amp; SERVIÇOS LTDA</w:t>
      </w:r>
      <w:r w:rsidR="00F80ECA" w:rsidRPr="00F80ECA">
        <w:rPr>
          <w:rFonts w:ascii="Arial Nova" w:hAnsi="Arial Nova" w:cs="Times New Roman"/>
          <w:b/>
          <w:bCs/>
          <w:sz w:val="24"/>
          <w:szCs w:val="24"/>
        </w:rPr>
        <w:t>.</w:t>
      </w:r>
      <w:r w:rsidR="003C718B">
        <w:rPr>
          <w:rFonts w:ascii="Arial Nova" w:hAnsi="Arial Nova" w:cs="Times New Roman"/>
          <w:sz w:val="24"/>
          <w:szCs w:val="24"/>
        </w:rPr>
        <w:t xml:space="preserve"> </w:t>
      </w:r>
      <w:r w:rsidR="00F80ECA">
        <w:rPr>
          <w:rFonts w:ascii="Arial Nova" w:hAnsi="Arial Nova" w:cs="Times New Roman"/>
          <w:sz w:val="24"/>
          <w:szCs w:val="24"/>
        </w:rPr>
        <w:t>decido:</w:t>
      </w:r>
    </w:p>
    <w:p w:rsidR="0088018A" w:rsidRPr="00A00B51" w:rsidRDefault="0088018A" w:rsidP="0088018A">
      <w:pPr>
        <w:pStyle w:val="PargrafodaLista"/>
        <w:widowControl/>
        <w:adjustRightInd w:val="0"/>
        <w:ind w:left="1494" w:firstLine="0"/>
        <w:rPr>
          <w:rFonts w:ascii="Arial Nova" w:hAnsi="Arial Nova" w:cs="Times New Roman"/>
          <w:sz w:val="24"/>
          <w:szCs w:val="24"/>
        </w:rPr>
      </w:pPr>
    </w:p>
    <w:p w:rsidR="00F80ECA" w:rsidRPr="00F80ECA" w:rsidRDefault="00F80ECA" w:rsidP="00F80ECA">
      <w:pPr>
        <w:pStyle w:val="PargrafodaLista"/>
        <w:widowControl/>
        <w:numPr>
          <w:ilvl w:val="0"/>
          <w:numId w:val="1"/>
        </w:numPr>
        <w:adjustRightInd w:val="0"/>
        <w:ind w:right="0"/>
        <w:rPr>
          <w:rFonts w:ascii="Arial Nova" w:hAnsi="Arial Nova" w:cs="Times New Roman"/>
          <w:sz w:val="24"/>
          <w:szCs w:val="24"/>
        </w:rPr>
      </w:pPr>
      <w:r w:rsidRPr="00F80ECA">
        <w:rPr>
          <w:rFonts w:ascii="Arial Nova" w:hAnsi="Arial Nova" w:cs="Times New Roman"/>
          <w:b/>
          <w:bCs/>
          <w:sz w:val="24"/>
          <w:szCs w:val="24"/>
        </w:rPr>
        <w:t xml:space="preserve">CONHECER </w:t>
      </w:r>
      <w:r w:rsidR="00143DB0">
        <w:rPr>
          <w:rFonts w:ascii="Arial Nova" w:hAnsi="Arial Nova" w:cs="Times New Roman"/>
          <w:bCs/>
          <w:sz w:val="24"/>
          <w:szCs w:val="24"/>
        </w:rPr>
        <w:t>do Recurso Administrativo interposto</w:t>
      </w:r>
      <w:r w:rsidRPr="00F80ECA">
        <w:rPr>
          <w:rFonts w:ascii="Arial Nova" w:hAnsi="Arial Nova" w:cs="Times New Roman"/>
          <w:bCs/>
          <w:sz w:val="24"/>
          <w:szCs w:val="24"/>
        </w:rPr>
        <w:t xml:space="preserve"> por </w:t>
      </w:r>
      <w:r w:rsidR="006A3357">
        <w:rPr>
          <w:rFonts w:ascii="Arial Nova" w:hAnsi="Arial Nova" w:cs="Times New Roman"/>
          <w:b/>
          <w:bCs/>
          <w:sz w:val="24"/>
          <w:szCs w:val="24"/>
        </w:rPr>
        <w:t>CONSTRUVASP CONSTRUÇÕES &amp; SERVIÇOS LTDA</w:t>
      </w:r>
      <w:r w:rsidRPr="00F80ECA">
        <w:rPr>
          <w:rFonts w:ascii="Arial Nova" w:hAnsi="Arial Nova" w:cs="Times New Roman"/>
          <w:b/>
          <w:bCs/>
          <w:sz w:val="24"/>
          <w:szCs w:val="24"/>
        </w:rPr>
        <w:t>,</w:t>
      </w:r>
      <w:r w:rsidR="00143DB0">
        <w:rPr>
          <w:rFonts w:ascii="Arial Nova" w:hAnsi="Arial Nova" w:cs="Times New Roman"/>
          <w:bCs/>
          <w:sz w:val="24"/>
          <w:szCs w:val="24"/>
        </w:rPr>
        <w:t xml:space="preserve"> por ser tempestivo</w:t>
      </w:r>
      <w:r w:rsidRPr="00F80ECA">
        <w:rPr>
          <w:rFonts w:ascii="Arial Nova" w:hAnsi="Arial Nova" w:cs="Times New Roman"/>
          <w:bCs/>
          <w:sz w:val="24"/>
          <w:szCs w:val="24"/>
        </w:rPr>
        <w:t>.</w:t>
      </w:r>
    </w:p>
    <w:p w:rsidR="00007F97" w:rsidRPr="00007F97" w:rsidRDefault="00007F97" w:rsidP="00007F97">
      <w:pPr>
        <w:pStyle w:val="PargrafodaLista"/>
        <w:widowControl/>
        <w:numPr>
          <w:ilvl w:val="0"/>
          <w:numId w:val="1"/>
        </w:numPr>
        <w:adjustRightInd w:val="0"/>
        <w:rPr>
          <w:rFonts w:ascii="Arial Nova" w:hAnsi="Arial Nova" w:cs="Times New Roman"/>
          <w:bCs/>
          <w:sz w:val="24"/>
          <w:szCs w:val="24"/>
        </w:rPr>
      </w:pPr>
      <w:r w:rsidRPr="00007F97">
        <w:rPr>
          <w:rFonts w:ascii="Arial Nova" w:hAnsi="Arial Nova" w:cs="Times New Roman"/>
          <w:bCs/>
          <w:sz w:val="24"/>
          <w:szCs w:val="24"/>
        </w:rPr>
        <w:t xml:space="preserve">No mérito, </w:t>
      </w:r>
      <w:r w:rsidRPr="00007F97">
        <w:rPr>
          <w:rFonts w:ascii="Arial Nova" w:hAnsi="Arial Nova" w:cs="Times New Roman"/>
          <w:b/>
          <w:bCs/>
          <w:sz w:val="24"/>
          <w:szCs w:val="24"/>
        </w:rPr>
        <w:t>NEGAR PROVIMENTO</w:t>
      </w:r>
      <w:r w:rsidRPr="00007F97">
        <w:rPr>
          <w:rFonts w:ascii="Arial Nova" w:hAnsi="Arial Nova" w:cs="Times New Roman"/>
          <w:bCs/>
          <w:sz w:val="24"/>
          <w:szCs w:val="24"/>
        </w:rPr>
        <w:t xml:space="preserve"> </w:t>
      </w:r>
      <w:r w:rsidR="00143DB0">
        <w:rPr>
          <w:rFonts w:ascii="Arial Nova" w:hAnsi="Arial Nova" w:cs="Times New Roman"/>
          <w:bCs/>
          <w:sz w:val="24"/>
          <w:szCs w:val="24"/>
        </w:rPr>
        <w:t>ao Recurso Administrativo apresentado, mantendo-se a inabilitação da Recorrida.</w:t>
      </w:r>
    </w:p>
    <w:p w:rsidR="00EA0819" w:rsidRPr="00EA0819" w:rsidRDefault="001E5156" w:rsidP="00847E2E">
      <w:pPr>
        <w:pStyle w:val="PargrafodaLista"/>
        <w:widowControl/>
        <w:numPr>
          <w:ilvl w:val="0"/>
          <w:numId w:val="1"/>
        </w:numPr>
        <w:adjustRightInd w:val="0"/>
        <w:ind w:right="0"/>
        <w:rPr>
          <w:rFonts w:ascii="Arial Nova" w:hAnsi="Arial Nova" w:cs="Times New Roman"/>
          <w:sz w:val="24"/>
          <w:szCs w:val="24"/>
        </w:rPr>
      </w:pPr>
      <w:r w:rsidRPr="001E5156">
        <w:rPr>
          <w:rFonts w:ascii="Arial Nova" w:hAnsi="Arial Nova" w:cs="Times New Roman"/>
          <w:b/>
          <w:bCs/>
          <w:sz w:val="24"/>
          <w:szCs w:val="24"/>
        </w:rPr>
        <w:t>DAR</w:t>
      </w:r>
      <w:r>
        <w:rPr>
          <w:rFonts w:ascii="Arial Nova" w:hAnsi="Arial Nova" w:cs="Times New Roman"/>
          <w:sz w:val="24"/>
          <w:szCs w:val="24"/>
        </w:rPr>
        <w:t xml:space="preserve"> </w:t>
      </w:r>
      <w:r w:rsidR="00257D99">
        <w:rPr>
          <w:rFonts w:ascii="Arial Nova" w:hAnsi="Arial Nova" w:cs="Times New Roman"/>
          <w:sz w:val="24"/>
          <w:szCs w:val="24"/>
        </w:rPr>
        <w:t>publicidade e encaminhamento aos autos.</w:t>
      </w:r>
    </w:p>
    <w:p w:rsidR="0099695B" w:rsidRPr="0099695B" w:rsidRDefault="0099695B" w:rsidP="007877F0">
      <w:pPr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 xml:space="preserve">Por fim, </w:t>
      </w:r>
      <w:r w:rsidR="0003538A" w:rsidRPr="00A00B51">
        <w:rPr>
          <w:rFonts w:ascii="Arial Nova" w:hAnsi="Arial Nova" w:cs="Times New Roman"/>
          <w:sz w:val="24"/>
          <w:szCs w:val="24"/>
        </w:rPr>
        <w:t>subam-se</w:t>
      </w:r>
      <w:r w:rsidRPr="00A00B51">
        <w:rPr>
          <w:rFonts w:ascii="Arial Nova" w:hAnsi="Arial Nova" w:cs="Times New Roman"/>
          <w:sz w:val="24"/>
          <w:szCs w:val="24"/>
        </w:rPr>
        <w:t xml:space="preserve"> os autos, onde, encaminhando-se a presente decisão à autoridade superior, este</w:t>
      </w:r>
      <w:r w:rsidR="0003538A">
        <w:rPr>
          <w:rFonts w:ascii="Arial Nova" w:hAnsi="Arial Nova" w:cs="Times New Roman"/>
          <w:sz w:val="24"/>
          <w:szCs w:val="24"/>
        </w:rPr>
        <w:t>,</w:t>
      </w:r>
      <w:r w:rsidRPr="00A00B51">
        <w:rPr>
          <w:rFonts w:ascii="Arial Nova" w:hAnsi="Arial Nova" w:cs="Times New Roman"/>
          <w:sz w:val="24"/>
          <w:szCs w:val="24"/>
        </w:rPr>
        <w:t xml:space="preserve"> possa realizar sua apreciação final, devendo dar ciência as empresas recorrente e recorrida. </w:t>
      </w: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</w:p>
    <w:p w:rsidR="00257D99" w:rsidRPr="00A00B51" w:rsidRDefault="00257D99" w:rsidP="00257D99">
      <w:pPr>
        <w:ind w:firstLine="1134"/>
        <w:jc w:val="both"/>
        <w:rPr>
          <w:rFonts w:ascii="Arial Nova" w:hAnsi="Arial Nova" w:cs="Times New Roman"/>
          <w:sz w:val="24"/>
          <w:szCs w:val="24"/>
        </w:rPr>
      </w:pPr>
      <w:r w:rsidRPr="00A00B51">
        <w:rPr>
          <w:rFonts w:ascii="Arial Nova" w:hAnsi="Arial Nova" w:cs="Times New Roman"/>
          <w:sz w:val="24"/>
          <w:szCs w:val="24"/>
        </w:rPr>
        <w:t>É como decido.</w:t>
      </w:r>
    </w:p>
    <w:p w:rsidR="00257D99" w:rsidRPr="00A00B51" w:rsidRDefault="00257D99" w:rsidP="00257D99">
      <w:pPr>
        <w:ind w:firstLine="1701"/>
        <w:jc w:val="both"/>
        <w:rPr>
          <w:rFonts w:ascii="Arial Nova" w:hAnsi="Arial Nova" w:cs="Times New Roman"/>
          <w:sz w:val="24"/>
          <w:szCs w:val="24"/>
        </w:rPr>
      </w:pPr>
    </w:p>
    <w:p w:rsidR="00257D99" w:rsidRDefault="00257D99" w:rsidP="00257D99">
      <w:pPr>
        <w:jc w:val="center"/>
        <w:rPr>
          <w:rFonts w:ascii="Arial Nova" w:eastAsiaTheme="minorHAnsi" w:hAnsi="Arial Nova" w:cs="Times New Roman"/>
          <w:sz w:val="24"/>
          <w:szCs w:val="24"/>
        </w:rPr>
      </w:pPr>
      <w:proofErr w:type="spellStart"/>
      <w:r w:rsidRPr="00A00B51">
        <w:rPr>
          <w:rFonts w:ascii="Arial Nova" w:eastAsiaTheme="minorHAnsi" w:hAnsi="Arial Nova" w:cs="Times New Roman"/>
          <w:sz w:val="24"/>
          <w:szCs w:val="24"/>
        </w:rPr>
        <w:t>Horizonte-CE</w:t>
      </w:r>
      <w:proofErr w:type="spellEnd"/>
      <w:r w:rsidRPr="00A00B51">
        <w:rPr>
          <w:rFonts w:ascii="Arial Nova" w:eastAsiaTheme="minorHAnsi" w:hAnsi="Arial Nova" w:cs="Times New Roman"/>
          <w:sz w:val="24"/>
          <w:szCs w:val="24"/>
        </w:rPr>
        <w:t xml:space="preserve">., </w:t>
      </w:r>
      <w:r w:rsidR="00143DB0">
        <w:rPr>
          <w:rFonts w:ascii="Arial Nova" w:eastAsiaTheme="minorHAnsi" w:hAnsi="Arial Nova" w:cs="Times New Roman"/>
          <w:sz w:val="24"/>
          <w:szCs w:val="24"/>
        </w:rPr>
        <w:t>06</w:t>
      </w:r>
      <w:r w:rsidR="0003538A">
        <w:rPr>
          <w:rFonts w:ascii="Arial Nova" w:eastAsiaTheme="minorHAnsi" w:hAnsi="Arial Nova" w:cs="Times New Roman"/>
          <w:sz w:val="24"/>
          <w:szCs w:val="24"/>
        </w:rPr>
        <w:t xml:space="preserve"> de </w:t>
      </w:r>
      <w:r w:rsidR="00007F97">
        <w:rPr>
          <w:rFonts w:ascii="Arial Nova" w:eastAsiaTheme="minorHAnsi" w:hAnsi="Arial Nova" w:cs="Times New Roman"/>
          <w:sz w:val="24"/>
          <w:szCs w:val="24"/>
        </w:rPr>
        <w:t xml:space="preserve">novembro </w:t>
      </w:r>
      <w:r w:rsidR="00A128D3">
        <w:rPr>
          <w:rFonts w:ascii="Arial Nova" w:eastAsiaTheme="minorHAnsi" w:hAnsi="Arial Nova" w:cs="Times New Roman"/>
          <w:sz w:val="24"/>
          <w:szCs w:val="24"/>
        </w:rPr>
        <w:t>de 2025</w:t>
      </w:r>
      <w:r w:rsidRPr="00A00B51">
        <w:rPr>
          <w:rFonts w:ascii="Arial Nova" w:eastAsiaTheme="minorHAnsi" w:hAnsi="Arial Nova" w:cs="Times New Roman"/>
          <w:sz w:val="24"/>
          <w:szCs w:val="24"/>
        </w:rPr>
        <w:t>.</w:t>
      </w:r>
    </w:p>
    <w:p w:rsidR="0003538A" w:rsidRDefault="0003538A" w:rsidP="00257D99">
      <w:pPr>
        <w:jc w:val="center"/>
        <w:rPr>
          <w:rFonts w:ascii="Arial Nova" w:eastAsiaTheme="minorHAnsi" w:hAnsi="Arial Nova" w:cs="Times New Roman"/>
          <w:sz w:val="24"/>
          <w:szCs w:val="24"/>
        </w:rPr>
      </w:pPr>
    </w:p>
    <w:p w:rsidR="009A60AA" w:rsidRPr="00A00B51" w:rsidRDefault="009A60AA" w:rsidP="00257D99">
      <w:pPr>
        <w:jc w:val="center"/>
        <w:rPr>
          <w:rFonts w:ascii="Arial Nova" w:eastAsiaTheme="minorHAnsi" w:hAnsi="Arial Nova" w:cs="Times New Roman"/>
          <w:sz w:val="24"/>
          <w:szCs w:val="24"/>
        </w:rPr>
      </w:pPr>
    </w:p>
    <w:p w:rsidR="00257D99" w:rsidRPr="00A00B51" w:rsidRDefault="00257D99" w:rsidP="00A54953">
      <w:pPr>
        <w:jc w:val="center"/>
        <w:rPr>
          <w:rFonts w:ascii="Arial Nova" w:eastAsiaTheme="minorHAnsi" w:hAnsi="Arial Nova" w:cs="Times New Roman"/>
          <w:sz w:val="24"/>
          <w:szCs w:val="24"/>
        </w:rPr>
      </w:pPr>
    </w:p>
    <w:p w:rsidR="003C718B" w:rsidRPr="003C718B" w:rsidRDefault="003C718B" w:rsidP="003C718B">
      <w:pPr>
        <w:jc w:val="center"/>
        <w:rPr>
          <w:rFonts w:ascii="Arial Nova" w:hAnsi="Arial Nova" w:cs="Times New Roman"/>
          <w:b/>
          <w:bCs/>
          <w:sz w:val="24"/>
          <w:szCs w:val="24"/>
        </w:rPr>
      </w:pPr>
      <w:r w:rsidRPr="003C718B">
        <w:rPr>
          <w:rFonts w:ascii="Arial Nova" w:hAnsi="Arial Nova" w:cs="Times New Roman"/>
          <w:b/>
          <w:bCs/>
          <w:sz w:val="24"/>
          <w:szCs w:val="24"/>
        </w:rPr>
        <w:t>Rafaela Lima dos Santos Martins</w:t>
      </w:r>
    </w:p>
    <w:p w:rsidR="003C718B" w:rsidRPr="003C718B" w:rsidRDefault="003C718B" w:rsidP="003C718B">
      <w:pPr>
        <w:jc w:val="center"/>
        <w:rPr>
          <w:rFonts w:ascii="Arial Nova" w:hAnsi="Arial Nova" w:cs="Times New Roman"/>
          <w:b/>
          <w:bCs/>
          <w:sz w:val="24"/>
          <w:szCs w:val="24"/>
        </w:rPr>
      </w:pPr>
      <w:r w:rsidRPr="003C718B">
        <w:rPr>
          <w:rFonts w:ascii="Arial Nova" w:hAnsi="Arial Nova" w:cs="Times New Roman"/>
          <w:b/>
          <w:bCs/>
          <w:sz w:val="24"/>
          <w:szCs w:val="24"/>
        </w:rPr>
        <w:t>AGENTE DE CONTRATAÇÃO</w:t>
      </w:r>
    </w:p>
    <w:p w:rsidR="009D3501" w:rsidRDefault="003C718B" w:rsidP="003C718B">
      <w:pPr>
        <w:jc w:val="center"/>
      </w:pPr>
      <w:r w:rsidRPr="003C718B">
        <w:rPr>
          <w:rFonts w:ascii="Arial Nova" w:hAnsi="Arial Nova" w:cs="Times New Roman"/>
          <w:b/>
          <w:bCs/>
          <w:sz w:val="24"/>
          <w:szCs w:val="24"/>
        </w:rPr>
        <w:t xml:space="preserve">Prefeitura Municipal de Horizonte </w:t>
      </w:r>
      <w:r w:rsidR="00A54953" w:rsidRPr="00A54953">
        <w:rPr>
          <w:rFonts w:ascii="Arial Nova" w:hAnsi="Arial Nova" w:cs="Times New Roman"/>
          <w:b/>
          <w:sz w:val="24"/>
          <w:szCs w:val="24"/>
        </w:rPr>
        <w:t> </w:t>
      </w:r>
    </w:p>
    <w:sectPr w:rsidR="009D3501" w:rsidSect="00847E2E">
      <w:headerReference w:type="default" r:id="rId8"/>
      <w:footerReference w:type="default" r:id="rId9"/>
      <w:pgSz w:w="11900" w:h="16840"/>
      <w:pgMar w:top="1843" w:right="1694" w:bottom="1276" w:left="1701" w:header="709" w:footer="10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AF" w:rsidRDefault="007D10AF">
      <w:r>
        <w:separator/>
      </w:r>
    </w:p>
  </w:endnote>
  <w:endnote w:type="continuationSeparator" w:id="0">
    <w:p w:rsidR="007D10AF" w:rsidRDefault="007D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enturyGothic-Italic">
    <w:altName w:val="Times New Roman"/>
    <w:panose1 w:val="00000000000000000000"/>
    <w:charset w:val="00"/>
    <w:family w:val="roman"/>
    <w:notTrueType/>
    <w:pitch w:val="default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01" w:rsidRDefault="00B028F6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06B5FBB" wp14:editId="32442CFA">
          <wp:simplePos x="0" y="0"/>
          <wp:positionH relativeFrom="page">
            <wp:posOffset>683260</wp:posOffset>
          </wp:positionH>
          <wp:positionV relativeFrom="paragraph">
            <wp:posOffset>-70637</wp:posOffset>
          </wp:positionV>
          <wp:extent cx="6487795" cy="685800"/>
          <wp:effectExtent l="0" t="0" r="825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88192" name="Imagem 8715881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11" b="3569"/>
                  <a:stretch/>
                </pic:blipFill>
                <pic:spPr bwMode="auto">
                  <a:xfrm>
                    <a:off x="0" y="0"/>
                    <a:ext cx="648779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AF" w:rsidRDefault="007D10AF">
      <w:r>
        <w:separator/>
      </w:r>
    </w:p>
  </w:footnote>
  <w:footnote w:type="continuationSeparator" w:id="0">
    <w:p w:rsidR="007D10AF" w:rsidRDefault="007D1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501" w:rsidRDefault="00B028F6" w:rsidP="00070619">
    <w:pPr>
      <w:pStyle w:val="Cabealho"/>
      <w:jc w:val="center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795E506" wp14:editId="6C7FDDC2">
          <wp:simplePos x="0" y="0"/>
          <wp:positionH relativeFrom="page">
            <wp:posOffset>836930</wp:posOffset>
          </wp:positionH>
          <wp:positionV relativeFrom="paragraph">
            <wp:posOffset>-127635</wp:posOffset>
          </wp:positionV>
          <wp:extent cx="5891530" cy="69634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88192" name="Imagem 8715881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" t="5386" r="1966" b="19487"/>
                  <a:stretch/>
                </pic:blipFill>
                <pic:spPr bwMode="auto">
                  <a:xfrm>
                    <a:off x="0" y="0"/>
                    <a:ext cx="5891530" cy="6963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45D"/>
    <w:multiLevelType w:val="hybridMultilevel"/>
    <w:tmpl w:val="60D41500"/>
    <w:lvl w:ilvl="0" w:tplc="B620711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D78157B"/>
    <w:multiLevelType w:val="hybridMultilevel"/>
    <w:tmpl w:val="0D98E658"/>
    <w:lvl w:ilvl="0" w:tplc="D5907E4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CA23EF7"/>
    <w:multiLevelType w:val="hybridMultilevel"/>
    <w:tmpl w:val="7B26D42A"/>
    <w:lvl w:ilvl="0" w:tplc="EC588CD8">
      <w:start w:val="1"/>
      <w:numFmt w:val="decimal"/>
      <w:lvlText w:val="%1)"/>
      <w:lvlJc w:val="left"/>
      <w:pPr>
        <w:ind w:left="140" w:hanging="277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B4E42694">
      <w:numFmt w:val="bullet"/>
      <w:lvlText w:val="•"/>
      <w:lvlJc w:val="left"/>
      <w:pPr>
        <w:ind w:left="1114" w:hanging="277"/>
      </w:pPr>
      <w:rPr>
        <w:rFonts w:hint="default"/>
        <w:lang w:val="pt-PT" w:eastAsia="en-US" w:bidi="ar-SA"/>
      </w:rPr>
    </w:lvl>
    <w:lvl w:ilvl="2" w:tplc="8544E960">
      <w:numFmt w:val="bullet"/>
      <w:lvlText w:val="•"/>
      <w:lvlJc w:val="left"/>
      <w:pPr>
        <w:ind w:left="2089" w:hanging="277"/>
      </w:pPr>
      <w:rPr>
        <w:rFonts w:hint="default"/>
        <w:lang w:val="pt-PT" w:eastAsia="en-US" w:bidi="ar-SA"/>
      </w:rPr>
    </w:lvl>
    <w:lvl w:ilvl="3" w:tplc="C40C8598">
      <w:numFmt w:val="bullet"/>
      <w:lvlText w:val="•"/>
      <w:lvlJc w:val="left"/>
      <w:pPr>
        <w:ind w:left="3064" w:hanging="277"/>
      </w:pPr>
      <w:rPr>
        <w:rFonts w:hint="default"/>
        <w:lang w:val="pt-PT" w:eastAsia="en-US" w:bidi="ar-SA"/>
      </w:rPr>
    </w:lvl>
    <w:lvl w:ilvl="4" w:tplc="9D228FB6">
      <w:numFmt w:val="bullet"/>
      <w:lvlText w:val="•"/>
      <w:lvlJc w:val="left"/>
      <w:pPr>
        <w:ind w:left="4039" w:hanging="277"/>
      </w:pPr>
      <w:rPr>
        <w:rFonts w:hint="default"/>
        <w:lang w:val="pt-PT" w:eastAsia="en-US" w:bidi="ar-SA"/>
      </w:rPr>
    </w:lvl>
    <w:lvl w:ilvl="5" w:tplc="9FAAB66C">
      <w:numFmt w:val="bullet"/>
      <w:lvlText w:val="•"/>
      <w:lvlJc w:val="left"/>
      <w:pPr>
        <w:ind w:left="5014" w:hanging="277"/>
      </w:pPr>
      <w:rPr>
        <w:rFonts w:hint="default"/>
        <w:lang w:val="pt-PT" w:eastAsia="en-US" w:bidi="ar-SA"/>
      </w:rPr>
    </w:lvl>
    <w:lvl w:ilvl="6" w:tplc="D57EE0FC">
      <w:numFmt w:val="bullet"/>
      <w:lvlText w:val="•"/>
      <w:lvlJc w:val="left"/>
      <w:pPr>
        <w:ind w:left="5988" w:hanging="277"/>
      </w:pPr>
      <w:rPr>
        <w:rFonts w:hint="default"/>
        <w:lang w:val="pt-PT" w:eastAsia="en-US" w:bidi="ar-SA"/>
      </w:rPr>
    </w:lvl>
    <w:lvl w:ilvl="7" w:tplc="BF9A1CBA">
      <w:numFmt w:val="bullet"/>
      <w:lvlText w:val="•"/>
      <w:lvlJc w:val="left"/>
      <w:pPr>
        <w:ind w:left="6963" w:hanging="277"/>
      </w:pPr>
      <w:rPr>
        <w:rFonts w:hint="default"/>
        <w:lang w:val="pt-PT" w:eastAsia="en-US" w:bidi="ar-SA"/>
      </w:rPr>
    </w:lvl>
    <w:lvl w:ilvl="8" w:tplc="53D45040">
      <w:numFmt w:val="bullet"/>
      <w:lvlText w:val="•"/>
      <w:lvlJc w:val="left"/>
      <w:pPr>
        <w:ind w:left="7938" w:hanging="277"/>
      </w:pPr>
      <w:rPr>
        <w:rFonts w:hint="default"/>
        <w:lang w:val="pt-PT" w:eastAsia="en-US" w:bidi="ar-SA"/>
      </w:rPr>
    </w:lvl>
  </w:abstractNum>
  <w:abstractNum w:abstractNumId="3">
    <w:nsid w:val="7E9D21F9"/>
    <w:multiLevelType w:val="hybridMultilevel"/>
    <w:tmpl w:val="B7B6620C"/>
    <w:lvl w:ilvl="0" w:tplc="DC7044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9"/>
    <w:rsid w:val="00007F97"/>
    <w:rsid w:val="00011CAC"/>
    <w:rsid w:val="0003538A"/>
    <w:rsid w:val="000B72D3"/>
    <w:rsid w:val="000C1C8B"/>
    <w:rsid w:val="000E4F2E"/>
    <w:rsid w:val="00101AAB"/>
    <w:rsid w:val="00143DB0"/>
    <w:rsid w:val="00160B44"/>
    <w:rsid w:val="00177F86"/>
    <w:rsid w:val="001E5156"/>
    <w:rsid w:val="00202190"/>
    <w:rsid w:val="00203AF8"/>
    <w:rsid w:val="00205882"/>
    <w:rsid w:val="002315FE"/>
    <w:rsid w:val="002474B8"/>
    <w:rsid w:val="00253F30"/>
    <w:rsid w:val="00257D99"/>
    <w:rsid w:val="00264118"/>
    <w:rsid w:val="002648A1"/>
    <w:rsid w:val="0029518F"/>
    <w:rsid w:val="002D43AC"/>
    <w:rsid w:val="00306301"/>
    <w:rsid w:val="003411A2"/>
    <w:rsid w:val="003415A1"/>
    <w:rsid w:val="003630B9"/>
    <w:rsid w:val="003A0191"/>
    <w:rsid w:val="003A6DBB"/>
    <w:rsid w:val="003C551F"/>
    <w:rsid w:val="003C718B"/>
    <w:rsid w:val="003E3F07"/>
    <w:rsid w:val="004620E9"/>
    <w:rsid w:val="004961DB"/>
    <w:rsid w:val="004A0276"/>
    <w:rsid w:val="004A155D"/>
    <w:rsid w:val="004E239A"/>
    <w:rsid w:val="004E3143"/>
    <w:rsid w:val="004E38AD"/>
    <w:rsid w:val="004F248B"/>
    <w:rsid w:val="00512994"/>
    <w:rsid w:val="00556E91"/>
    <w:rsid w:val="00591378"/>
    <w:rsid w:val="00597FE8"/>
    <w:rsid w:val="005A24A7"/>
    <w:rsid w:val="005D069A"/>
    <w:rsid w:val="005D24B5"/>
    <w:rsid w:val="00600CBE"/>
    <w:rsid w:val="00641894"/>
    <w:rsid w:val="00651750"/>
    <w:rsid w:val="00653C05"/>
    <w:rsid w:val="00665213"/>
    <w:rsid w:val="006A3357"/>
    <w:rsid w:val="006A7DCB"/>
    <w:rsid w:val="00705F2F"/>
    <w:rsid w:val="00711DAF"/>
    <w:rsid w:val="00741AED"/>
    <w:rsid w:val="007877F0"/>
    <w:rsid w:val="007C258F"/>
    <w:rsid w:val="007C6FDB"/>
    <w:rsid w:val="007D10AF"/>
    <w:rsid w:val="00804FDC"/>
    <w:rsid w:val="008347B6"/>
    <w:rsid w:val="00847E2E"/>
    <w:rsid w:val="00861131"/>
    <w:rsid w:val="0088018A"/>
    <w:rsid w:val="00880235"/>
    <w:rsid w:val="00902034"/>
    <w:rsid w:val="00911B3F"/>
    <w:rsid w:val="0093706A"/>
    <w:rsid w:val="00957A57"/>
    <w:rsid w:val="00980318"/>
    <w:rsid w:val="0099695B"/>
    <w:rsid w:val="009A60AA"/>
    <w:rsid w:val="009D3500"/>
    <w:rsid w:val="009D3501"/>
    <w:rsid w:val="00A128D3"/>
    <w:rsid w:val="00A54953"/>
    <w:rsid w:val="00B028F6"/>
    <w:rsid w:val="00B30AF9"/>
    <w:rsid w:val="00B920AA"/>
    <w:rsid w:val="00B93BE9"/>
    <w:rsid w:val="00B97A95"/>
    <w:rsid w:val="00BA4C0B"/>
    <w:rsid w:val="00C373B6"/>
    <w:rsid w:val="00C57D9E"/>
    <w:rsid w:val="00CB2B23"/>
    <w:rsid w:val="00D12CFB"/>
    <w:rsid w:val="00D53B15"/>
    <w:rsid w:val="00DD39F2"/>
    <w:rsid w:val="00E13E42"/>
    <w:rsid w:val="00E27230"/>
    <w:rsid w:val="00E73E0D"/>
    <w:rsid w:val="00E83D34"/>
    <w:rsid w:val="00E96E3A"/>
    <w:rsid w:val="00EA0819"/>
    <w:rsid w:val="00ED5297"/>
    <w:rsid w:val="00F0272C"/>
    <w:rsid w:val="00F0432B"/>
    <w:rsid w:val="00F27B87"/>
    <w:rsid w:val="00F80ECA"/>
    <w:rsid w:val="00F94554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39F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3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41894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57D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57D99"/>
    <w:rPr>
      <w:rFonts w:ascii="Trebuchet MS" w:eastAsia="Trebuchet MS" w:hAnsi="Trebuchet MS" w:cs="Trebuchet MS"/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257D99"/>
    <w:pPr>
      <w:ind w:left="116" w:right="117" w:firstLine="1702"/>
      <w:jc w:val="both"/>
    </w:pPr>
  </w:style>
  <w:style w:type="paragraph" w:styleId="Cabealho">
    <w:name w:val="header"/>
    <w:aliases w:val=" Char,Char"/>
    <w:basedOn w:val="Normal"/>
    <w:link w:val="CabealhoChar"/>
    <w:uiPriority w:val="99"/>
    <w:unhideWhenUsed/>
    <w:rsid w:val="00257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uiPriority w:val="99"/>
    <w:rsid w:val="00257D99"/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257D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5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257D99"/>
    <w:rPr>
      <w:rFonts w:ascii="Trebuchet MS" w:eastAsia="Trebuchet MS" w:hAnsi="Trebuchet MS" w:cs="Trebuchet MS"/>
    </w:rPr>
  </w:style>
  <w:style w:type="paragraph" w:customStyle="1" w:styleId="Default">
    <w:name w:val="Default"/>
    <w:qFormat/>
    <w:rsid w:val="00B9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641894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6418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1894"/>
    <w:rPr>
      <w:b/>
      <w:bCs/>
    </w:rPr>
  </w:style>
  <w:style w:type="paragraph" w:customStyle="1" w:styleId="has-text-align-justify">
    <w:name w:val="has-text-align-justify"/>
    <w:basedOn w:val="Normal"/>
    <w:rsid w:val="006418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2M2015Ttulo">
    <w:name w:val="AD2M 2015 Título"/>
    <w:basedOn w:val="Normal"/>
    <w:rsid w:val="0099695B"/>
    <w:pPr>
      <w:widowControl/>
      <w:autoSpaceDE/>
      <w:autoSpaceDN/>
      <w:spacing w:line="312" w:lineRule="auto"/>
    </w:pPr>
    <w:rPr>
      <w:rFonts w:ascii="Gotham Bold" w:eastAsia="Times New Roman" w:hAnsi="Gotham Bold" w:cs="Gotham Bold"/>
      <w:color w:val="0066CC"/>
      <w:sz w:val="32"/>
      <w:szCs w:val="32"/>
    </w:rPr>
  </w:style>
  <w:style w:type="paragraph" w:styleId="SemEspaamento">
    <w:name w:val="No Spacing"/>
    <w:uiPriority w:val="1"/>
    <w:qFormat/>
    <w:rsid w:val="0099695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5297"/>
    <w:rPr>
      <w:color w:val="0000FF"/>
      <w:u w:val="single"/>
    </w:rPr>
  </w:style>
  <w:style w:type="character" w:customStyle="1" w:styleId="fontstyle01">
    <w:name w:val="fontstyle01"/>
    <w:basedOn w:val="Fontepargpadro"/>
    <w:rsid w:val="00597FE8"/>
    <w:rPr>
      <w:rFonts w:ascii="CenturyGothic" w:hAnsi="CenturyGoth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97FE8"/>
    <w:rPr>
      <w:rFonts w:ascii="CenturyGothic-Italic" w:hAnsi="CenturyGothic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97FE8"/>
    <w:rPr>
      <w:rFonts w:ascii="CenturyGothic-Bold" w:hAnsi="CenturyGothic-Bold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38A"/>
    <w:rPr>
      <w:rFonts w:ascii="Tahoma" w:eastAsia="Trebuchet MS" w:hAnsi="Tahoma" w:cs="Tahoma"/>
      <w:sz w:val="16"/>
      <w:szCs w:val="16"/>
    </w:rPr>
  </w:style>
  <w:style w:type="paragraph" w:customStyle="1" w:styleId="04partenormativa">
    <w:name w:val="04partenormativa"/>
    <w:basedOn w:val="Normal"/>
    <w:rsid w:val="005A2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A2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3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02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8F6"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39F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3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41894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57D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57D99"/>
    <w:rPr>
      <w:rFonts w:ascii="Trebuchet MS" w:eastAsia="Trebuchet MS" w:hAnsi="Trebuchet MS" w:cs="Trebuchet MS"/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257D99"/>
    <w:pPr>
      <w:ind w:left="116" w:right="117" w:firstLine="1702"/>
      <w:jc w:val="both"/>
    </w:pPr>
  </w:style>
  <w:style w:type="paragraph" w:styleId="Cabealho">
    <w:name w:val="header"/>
    <w:aliases w:val=" Char,Char"/>
    <w:basedOn w:val="Normal"/>
    <w:link w:val="CabealhoChar"/>
    <w:uiPriority w:val="99"/>
    <w:unhideWhenUsed/>
    <w:rsid w:val="00257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uiPriority w:val="99"/>
    <w:rsid w:val="00257D99"/>
    <w:rPr>
      <w:rFonts w:ascii="Trebuchet MS" w:eastAsia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257D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5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257D99"/>
    <w:rPr>
      <w:rFonts w:ascii="Trebuchet MS" w:eastAsia="Trebuchet MS" w:hAnsi="Trebuchet MS" w:cs="Trebuchet MS"/>
    </w:rPr>
  </w:style>
  <w:style w:type="paragraph" w:customStyle="1" w:styleId="Default">
    <w:name w:val="Default"/>
    <w:qFormat/>
    <w:rsid w:val="00B9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641894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6418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1894"/>
    <w:rPr>
      <w:b/>
      <w:bCs/>
    </w:rPr>
  </w:style>
  <w:style w:type="paragraph" w:customStyle="1" w:styleId="has-text-align-justify">
    <w:name w:val="has-text-align-justify"/>
    <w:basedOn w:val="Normal"/>
    <w:rsid w:val="006418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2M2015Ttulo">
    <w:name w:val="AD2M 2015 Título"/>
    <w:basedOn w:val="Normal"/>
    <w:rsid w:val="0099695B"/>
    <w:pPr>
      <w:widowControl/>
      <w:autoSpaceDE/>
      <w:autoSpaceDN/>
      <w:spacing w:line="312" w:lineRule="auto"/>
    </w:pPr>
    <w:rPr>
      <w:rFonts w:ascii="Gotham Bold" w:eastAsia="Times New Roman" w:hAnsi="Gotham Bold" w:cs="Gotham Bold"/>
      <w:color w:val="0066CC"/>
      <w:sz w:val="32"/>
      <w:szCs w:val="32"/>
    </w:rPr>
  </w:style>
  <w:style w:type="paragraph" w:styleId="SemEspaamento">
    <w:name w:val="No Spacing"/>
    <w:uiPriority w:val="1"/>
    <w:qFormat/>
    <w:rsid w:val="0099695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D5297"/>
    <w:rPr>
      <w:color w:val="0000FF"/>
      <w:u w:val="single"/>
    </w:rPr>
  </w:style>
  <w:style w:type="character" w:customStyle="1" w:styleId="fontstyle01">
    <w:name w:val="fontstyle01"/>
    <w:basedOn w:val="Fontepargpadro"/>
    <w:rsid w:val="00597FE8"/>
    <w:rPr>
      <w:rFonts w:ascii="CenturyGothic" w:hAnsi="CenturyGoth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97FE8"/>
    <w:rPr>
      <w:rFonts w:ascii="CenturyGothic-Italic" w:hAnsi="CenturyGothic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97FE8"/>
    <w:rPr>
      <w:rFonts w:ascii="CenturyGothic-Bold" w:hAnsi="CenturyGothic-Bold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3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38A"/>
    <w:rPr>
      <w:rFonts w:ascii="Tahoma" w:eastAsia="Trebuchet MS" w:hAnsi="Tahoma" w:cs="Tahoma"/>
      <w:sz w:val="16"/>
      <w:szCs w:val="16"/>
    </w:rPr>
  </w:style>
  <w:style w:type="paragraph" w:customStyle="1" w:styleId="04partenormativa">
    <w:name w:val="04partenormativa"/>
    <w:basedOn w:val="Normal"/>
    <w:rsid w:val="005A2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A24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3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028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8F6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8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2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55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49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0158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5739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52700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76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40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9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045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6027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7730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0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1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51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2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9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8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14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37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20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9474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6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21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5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3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9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49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43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5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1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3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52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55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5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2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7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9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22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7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20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41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4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15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3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6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9</Pages>
  <Words>3521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</cp:lastModifiedBy>
  <cp:revision>30</cp:revision>
  <cp:lastPrinted>2025-11-07T10:59:00Z</cp:lastPrinted>
  <dcterms:created xsi:type="dcterms:W3CDTF">2025-01-17T11:34:00Z</dcterms:created>
  <dcterms:modified xsi:type="dcterms:W3CDTF">2025-11-07T10:59:00Z</dcterms:modified>
</cp:coreProperties>
</file>